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64" w:rsidRPr="00734E64" w:rsidRDefault="00734E64" w:rsidP="00734E64">
      <w:pPr>
        <w:pStyle w:val="NoSpacing"/>
        <w:tabs>
          <w:tab w:val="left" w:pos="240"/>
          <w:tab w:val="left" w:pos="5670"/>
          <w:tab w:val="left" w:pos="8931"/>
        </w:tabs>
        <w:ind w:left="6096" w:right="-46" w:hanging="6096"/>
        <w:jc w:val="center"/>
        <w:rPr>
          <w:rFonts w:ascii="Arial" w:hAnsi="Arial" w:cs="Arial"/>
          <w:b/>
          <w:color w:val="FF0000"/>
          <w:sz w:val="56"/>
          <w:szCs w:val="56"/>
        </w:rPr>
      </w:pPr>
      <w:r w:rsidRPr="00734E64">
        <w:rPr>
          <w:rFonts w:ascii="Arial" w:hAnsi="Arial" w:cs="Arial"/>
          <w:b/>
          <w:color w:val="FF0000"/>
          <w:sz w:val="56"/>
          <w:szCs w:val="56"/>
        </w:rPr>
        <w:t xml:space="preserve">World </w:t>
      </w:r>
      <w:r w:rsidR="004402D2">
        <w:rPr>
          <w:rFonts w:ascii="Arial" w:hAnsi="Arial" w:cs="Arial"/>
          <w:b/>
          <w:color w:val="FF0000"/>
          <w:sz w:val="56"/>
          <w:szCs w:val="56"/>
        </w:rPr>
        <w:t>Hepatitis Awareness Day</w:t>
      </w:r>
    </w:p>
    <w:p w:rsidR="00734E64" w:rsidRPr="00734E64" w:rsidRDefault="00734E64" w:rsidP="00734E64">
      <w:pPr>
        <w:pStyle w:val="NoSpacing"/>
        <w:tabs>
          <w:tab w:val="left" w:pos="240"/>
          <w:tab w:val="left" w:pos="5670"/>
          <w:tab w:val="left" w:pos="8931"/>
        </w:tabs>
        <w:ind w:left="6096" w:right="-46" w:hanging="6096"/>
        <w:jc w:val="center"/>
        <w:rPr>
          <w:rFonts w:ascii="Arial" w:hAnsi="Arial" w:cs="Arial"/>
          <w:b/>
          <w:color w:val="FF0000"/>
          <w:sz w:val="56"/>
          <w:szCs w:val="56"/>
        </w:rPr>
      </w:pPr>
    </w:p>
    <w:p w:rsidR="00734E64" w:rsidRPr="00734E64" w:rsidRDefault="004402D2" w:rsidP="00734E64">
      <w:pPr>
        <w:pStyle w:val="NoSpacing"/>
        <w:tabs>
          <w:tab w:val="left" w:pos="240"/>
          <w:tab w:val="left" w:pos="5670"/>
          <w:tab w:val="left" w:pos="8931"/>
        </w:tabs>
        <w:ind w:left="6096" w:right="-46" w:hanging="6096"/>
        <w:jc w:val="center"/>
        <w:rPr>
          <w:rFonts w:ascii="Arial" w:hAnsi="Arial" w:cs="Arial"/>
          <w:b/>
          <w:color w:val="FF0000"/>
          <w:sz w:val="56"/>
          <w:szCs w:val="56"/>
        </w:rPr>
      </w:pPr>
      <w:r>
        <w:rPr>
          <w:rFonts w:ascii="Arial" w:hAnsi="Arial" w:cs="Arial"/>
          <w:b/>
          <w:color w:val="FF0000"/>
          <w:sz w:val="56"/>
          <w:szCs w:val="56"/>
        </w:rPr>
        <w:t>28 July</w:t>
      </w: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734E64"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734E64" w:rsidRDefault="000F7A7D" w:rsidP="00734E64">
      <w:pPr>
        <w:pStyle w:val="NoSpacing"/>
        <w:tabs>
          <w:tab w:val="left" w:pos="240"/>
          <w:tab w:val="left" w:pos="5670"/>
          <w:tab w:val="left" w:pos="8931"/>
        </w:tabs>
        <w:ind w:left="6096" w:right="-46" w:hanging="6096"/>
        <w:jc w:val="center"/>
        <w:rPr>
          <w:rFonts w:ascii="Arial" w:hAnsi="Arial" w:cs="Arial"/>
          <w:b/>
          <w:color w:val="00B050"/>
          <w:sz w:val="28"/>
          <w:szCs w:val="28"/>
        </w:rPr>
      </w:pPr>
      <w:hyperlink r:id="rId7" w:history="1">
        <w:r w:rsidR="00734E64" w:rsidRPr="00544F84">
          <w:rPr>
            <w:rStyle w:val="Hyperlink"/>
            <w:rFonts w:ascii="Arial" w:hAnsi="Arial" w:cs="Arial"/>
            <w:b/>
            <w:sz w:val="28"/>
            <w:szCs w:val="28"/>
          </w:rPr>
          <w:t>https://www.nzblood.co.nz</w:t>
        </w:r>
      </w:hyperlink>
      <w:r w:rsidR="00734E64">
        <w:rPr>
          <w:rFonts w:ascii="Arial" w:hAnsi="Arial" w:cs="Arial"/>
          <w:b/>
          <w:color w:val="00B050"/>
          <w:sz w:val="28"/>
          <w:szCs w:val="28"/>
        </w:rPr>
        <w:t xml:space="preserve"> </w:t>
      </w:r>
    </w:p>
    <w:p w:rsidR="00592A2E" w:rsidRDefault="00592A2E" w:rsidP="00734E64">
      <w:pPr>
        <w:pStyle w:val="NoSpacing"/>
        <w:tabs>
          <w:tab w:val="left" w:pos="240"/>
          <w:tab w:val="left" w:pos="5670"/>
          <w:tab w:val="left" w:pos="8931"/>
        </w:tabs>
        <w:ind w:left="6096" w:right="-46" w:hanging="6096"/>
        <w:jc w:val="center"/>
        <w:rPr>
          <w:rFonts w:ascii="Arial" w:hAnsi="Arial" w:cs="Arial"/>
          <w:b/>
          <w:color w:val="00B050"/>
          <w:sz w:val="28"/>
          <w:szCs w:val="28"/>
        </w:rPr>
      </w:pPr>
    </w:p>
    <w:p w:rsidR="00592A2E" w:rsidRPr="00592A2E" w:rsidRDefault="00592A2E" w:rsidP="00734E64">
      <w:pPr>
        <w:pStyle w:val="NoSpacing"/>
        <w:tabs>
          <w:tab w:val="left" w:pos="240"/>
          <w:tab w:val="left" w:pos="5670"/>
          <w:tab w:val="left" w:pos="8931"/>
        </w:tabs>
        <w:ind w:left="6096" w:right="-46" w:hanging="6096"/>
        <w:jc w:val="center"/>
        <w:rPr>
          <w:rFonts w:ascii="Arial" w:hAnsi="Arial" w:cs="Arial"/>
          <w:b/>
          <w:color w:val="FF0000"/>
          <w:sz w:val="28"/>
          <w:szCs w:val="28"/>
        </w:rPr>
      </w:pPr>
      <w:r w:rsidRPr="00592A2E">
        <w:rPr>
          <w:rFonts w:ascii="Arial" w:hAnsi="Arial" w:cs="Arial"/>
          <w:b/>
          <w:color w:val="FF0000"/>
          <w:sz w:val="28"/>
          <w:szCs w:val="28"/>
        </w:rPr>
        <w:t>Give blood, save lives</w:t>
      </w:r>
    </w:p>
    <w:p w:rsidR="00592A2E" w:rsidRPr="00592A2E" w:rsidRDefault="00592A2E" w:rsidP="00734E64">
      <w:pPr>
        <w:pStyle w:val="NoSpacing"/>
        <w:tabs>
          <w:tab w:val="left" w:pos="240"/>
          <w:tab w:val="left" w:pos="5670"/>
          <w:tab w:val="left" w:pos="8931"/>
        </w:tabs>
        <w:ind w:left="6096" w:right="-46" w:hanging="6096"/>
        <w:jc w:val="center"/>
        <w:rPr>
          <w:rFonts w:ascii="Arial" w:hAnsi="Arial" w:cs="Arial"/>
          <w:b/>
          <w:color w:val="FF0000"/>
          <w:sz w:val="28"/>
          <w:szCs w:val="28"/>
        </w:rPr>
      </w:pPr>
      <w:r w:rsidRPr="00592A2E">
        <w:rPr>
          <w:rFonts w:ascii="Arial" w:hAnsi="Arial" w:cs="Arial"/>
          <w:b/>
          <w:color w:val="FF0000"/>
          <w:sz w:val="28"/>
          <w:szCs w:val="28"/>
        </w:rPr>
        <w:t>Whakaora Tāngata</w:t>
      </w:r>
    </w:p>
    <w:p w:rsidR="00734E64" w:rsidRDefault="00734E64">
      <w:pPr>
        <w:rPr>
          <w:rFonts w:ascii="Arial" w:eastAsia="Calibri" w:hAnsi="Arial" w:cs="Arial"/>
          <w:b/>
          <w:color w:val="00B050"/>
          <w:sz w:val="28"/>
          <w:szCs w:val="28"/>
        </w:rPr>
      </w:pPr>
      <w:r>
        <w:rPr>
          <w:rFonts w:ascii="Arial" w:hAnsi="Arial" w:cs="Arial"/>
          <w:b/>
          <w:color w:val="00B050"/>
          <w:sz w:val="28"/>
          <w:szCs w:val="28"/>
        </w:rPr>
        <w:br w:type="page"/>
      </w:r>
    </w:p>
    <w:p w:rsidR="00036223" w:rsidRDefault="00036223" w:rsidP="00036223">
      <w:pPr>
        <w:pStyle w:val="NoSpacing"/>
        <w:tabs>
          <w:tab w:val="left" w:pos="240"/>
          <w:tab w:val="left" w:pos="5670"/>
          <w:tab w:val="left" w:pos="8931"/>
        </w:tabs>
        <w:ind w:left="6096" w:right="-46" w:hanging="6096"/>
        <w:rPr>
          <w:rFonts w:ascii="Arial" w:hAnsi="Arial" w:cs="Arial"/>
          <w:b/>
          <w:color w:val="00B050"/>
          <w:sz w:val="28"/>
          <w:szCs w:val="28"/>
        </w:rPr>
      </w:pPr>
      <w:r>
        <w:rPr>
          <w:rFonts w:ascii="Arial" w:hAnsi="Arial" w:cs="Arial"/>
          <w:b/>
          <w:color w:val="00B050"/>
          <w:sz w:val="28"/>
          <w:szCs w:val="28"/>
        </w:rPr>
        <w:lastRenderedPageBreak/>
        <w:t>About the Library</w:t>
      </w:r>
    </w:p>
    <w:p w:rsidR="00036223" w:rsidRPr="00632678" w:rsidRDefault="00036223" w:rsidP="00036223">
      <w:pPr>
        <w:pStyle w:val="NoSpacing"/>
        <w:rPr>
          <w:rFonts w:cs="Calibri"/>
        </w:rPr>
      </w:pPr>
      <w:r>
        <w:rPr>
          <w:rFonts w:cs="Calibri"/>
        </w:rPr>
        <w:t>The hospital library is located on the 3rd floor Clinical Services Building</w:t>
      </w:r>
    </w:p>
    <w:p w:rsidR="00036223" w:rsidRDefault="00036223" w:rsidP="00036223">
      <w:pPr>
        <w:pStyle w:val="NoSpacing"/>
        <w:rPr>
          <w:rFonts w:cs="Calibri"/>
        </w:rPr>
      </w:pPr>
    </w:p>
    <w:p w:rsidR="00036223" w:rsidRDefault="00036223" w:rsidP="00036223">
      <w:pPr>
        <w:pStyle w:val="NoSpacing"/>
        <w:rPr>
          <w:rFonts w:cs="Calibri"/>
        </w:rPr>
      </w:pPr>
      <w:r>
        <w:rPr>
          <w:rFonts w:cs="Calibri"/>
        </w:rPr>
        <w:t xml:space="preserve">Librarians:  </w:t>
      </w:r>
      <w:r>
        <w:rPr>
          <w:rFonts w:cs="Calibri"/>
        </w:rPr>
        <w:tab/>
        <w:t>Janet Arnet</w:t>
      </w:r>
    </w:p>
    <w:p w:rsidR="00036223" w:rsidRDefault="00036223" w:rsidP="00036223">
      <w:pPr>
        <w:pStyle w:val="NoSpacing"/>
        <w:rPr>
          <w:rFonts w:cs="Calibri"/>
        </w:rPr>
      </w:pPr>
      <w:r>
        <w:rPr>
          <w:rFonts w:cs="Calibri"/>
        </w:rPr>
        <w:tab/>
      </w:r>
      <w:r>
        <w:rPr>
          <w:rFonts w:cs="Calibri"/>
        </w:rPr>
        <w:tab/>
        <w:t xml:space="preserve">Lisa Wilson </w:t>
      </w:r>
    </w:p>
    <w:p w:rsidR="00036223" w:rsidRDefault="00036223" w:rsidP="00036223">
      <w:pPr>
        <w:pStyle w:val="NoSpacing"/>
        <w:rPr>
          <w:rFonts w:cs="Calibri"/>
        </w:rPr>
      </w:pPr>
    </w:p>
    <w:p w:rsidR="00036223" w:rsidRDefault="00036223" w:rsidP="00036223">
      <w:pPr>
        <w:pStyle w:val="NoSpacing"/>
        <w:rPr>
          <w:rFonts w:cs="Calibri"/>
        </w:rPr>
      </w:pPr>
      <w:r>
        <w:rPr>
          <w:rFonts w:cs="Calibri"/>
        </w:rPr>
        <w:t>Hours: Monday to Friday 8.30am-4.30pm</w:t>
      </w:r>
    </w:p>
    <w:p w:rsidR="00036223" w:rsidRDefault="00036223" w:rsidP="00036223">
      <w:pPr>
        <w:pStyle w:val="NoSpacing"/>
        <w:rPr>
          <w:rFonts w:cs="Calibri"/>
        </w:rPr>
      </w:pPr>
      <w:r>
        <w:rPr>
          <w:rFonts w:cs="Calibri"/>
        </w:rPr>
        <w:t>Ask about after-hours access</w:t>
      </w:r>
    </w:p>
    <w:p w:rsidR="00036223" w:rsidRDefault="00036223" w:rsidP="00036223">
      <w:pPr>
        <w:pStyle w:val="NoSpacing"/>
        <w:rPr>
          <w:rFonts w:cs="Calibri"/>
        </w:rPr>
      </w:pPr>
    </w:p>
    <w:p w:rsidR="00036223" w:rsidRDefault="00036223" w:rsidP="00036223">
      <w:pPr>
        <w:pStyle w:val="NoSpacing"/>
        <w:rPr>
          <w:rFonts w:cs="Calibri"/>
        </w:rPr>
      </w:pPr>
      <w:r>
        <w:rPr>
          <w:rFonts w:cs="Calibri"/>
        </w:rPr>
        <w:t xml:space="preserve">Journal table of contents alerts are sent by email.  If you want to be included in the contents alerts for a particular journal let the </w:t>
      </w:r>
      <w:hyperlink r:id="rId8" w:history="1">
        <w:r w:rsidRPr="009C3970">
          <w:rPr>
            <w:rStyle w:val="Hyperlink"/>
            <w:rFonts w:cs="Calibri"/>
          </w:rPr>
          <w:t>librarians</w:t>
        </w:r>
      </w:hyperlink>
      <w:r>
        <w:rPr>
          <w:rFonts w:cs="Calibri"/>
        </w:rPr>
        <w:t xml:space="preserve"> know. </w:t>
      </w:r>
    </w:p>
    <w:p w:rsidR="00036223" w:rsidRDefault="00036223" w:rsidP="00036223">
      <w:pPr>
        <w:pStyle w:val="NoSpacing"/>
        <w:rPr>
          <w:rFonts w:cs="Calibri"/>
        </w:rPr>
      </w:pPr>
    </w:p>
    <w:p w:rsidR="00036223" w:rsidRDefault="000F7A7D" w:rsidP="00036223">
      <w:pPr>
        <w:pStyle w:val="NoSpacing"/>
        <w:rPr>
          <w:rFonts w:cs="Calibri"/>
        </w:rPr>
      </w:pPr>
      <w:hyperlink r:id="rId9" w:history="1">
        <w:r w:rsidR="00036223" w:rsidRPr="00D70C78">
          <w:rPr>
            <w:rStyle w:val="Hyperlink"/>
            <w:rFonts w:cs="Calibri"/>
          </w:rPr>
          <w:t>The library intranet site</w:t>
        </w:r>
      </w:hyperlink>
      <w:r w:rsidR="00036223">
        <w:rPr>
          <w:rFonts w:cs="Calibri"/>
        </w:rPr>
        <w:t>:</w:t>
      </w:r>
    </w:p>
    <w:p w:rsidR="00036223" w:rsidRDefault="00036223" w:rsidP="00036223">
      <w:pPr>
        <w:pStyle w:val="NoSpacing"/>
        <w:rPr>
          <w:rFonts w:cs="Calibri"/>
        </w:rPr>
      </w:pPr>
      <w:r>
        <w:rPr>
          <w:rFonts w:cs="Calibri"/>
        </w:rPr>
        <w:t>Via the DHB intranet homepage</w:t>
      </w:r>
    </w:p>
    <w:p w:rsidR="00036223" w:rsidRDefault="00036223" w:rsidP="00036223">
      <w:pPr>
        <w:pStyle w:val="NoSpacing"/>
        <w:rPr>
          <w:rFonts w:cs="Calibri"/>
        </w:rPr>
      </w:pPr>
      <w:r>
        <w:rPr>
          <w:rFonts w:cs="Calibri"/>
        </w:rPr>
        <w:t>Click on library - Under Quick Links</w:t>
      </w:r>
    </w:p>
    <w:p w:rsidR="00036223" w:rsidRDefault="00036223" w:rsidP="00036223">
      <w:pPr>
        <w:pStyle w:val="NoSpacing"/>
        <w:rPr>
          <w:rFonts w:cs="Calibri"/>
        </w:rPr>
      </w:pPr>
    </w:p>
    <w:p w:rsidR="00036223" w:rsidRDefault="00036223" w:rsidP="00036223">
      <w:pPr>
        <w:rPr>
          <w:rFonts w:cs="Calibri"/>
        </w:rPr>
      </w:pPr>
      <w:r>
        <w:rPr>
          <w:rFonts w:cs="Calibri"/>
        </w:rPr>
        <w:t xml:space="preserve">The </w:t>
      </w:r>
      <w:hyperlink r:id="rId10" w:history="1">
        <w:r>
          <w:rPr>
            <w:rStyle w:val="Hyperlink"/>
            <w:rFonts w:cs="Calibri"/>
          </w:rPr>
          <w:t>catalogue</w:t>
        </w:r>
      </w:hyperlink>
      <w:r>
        <w:rPr>
          <w:rFonts w:cs="Calibri"/>
        </w:rPr>
        <w:t xml:space="preserve"> gives access to print as well as ebooks and ejournals.</w:t>
      </w:r>
    </w:p>
    <w:p w:rsidR="00036223" w:rsidRPr="00632678" w:rsidRDefault="00036223" w:rsidP="00036223">
      <w:pPr>
        <w:pStyle w:val="NoSpacing"/>
      </w:pPr>
      <w:r>
        <w:rPr>
          <w:u w:val="single"/>
        </w:rPr>
        <w:t>Library Services</w:t>
      </w:r>
      <w:r>
        <w:t>:</w:t>
      </w:r>
    </w:p>
    <w:p w:rsidR="00036223" w:rsidRDefault="00036223" w:rsidP="00036223">
      <w:pPr>
        <w:pStyle w:val="NoSpacing"/>
      </w:pPr>
      <w:r>
        <w:t xml:space="preserve">Literature searching: Ask the </w:t>
      </w:r>
      <w:hyperlink r:id="rId11" w:history="1">
        <w:r>
          <w:rPr>
            <w:rStyle w:val="Hyperlink"/>
          </w:rPr>
          <w:t>librarians</w:t>
        </w:r>
      </w:hyperlink>
      <w:r>
        <w:t xml:space="preserve"> to find articles on work related topics, presentations, patient care, etc.</w:t>
      </w:r>
    </w:p>
    <w:p w:rsidR="00036223" w:rsidRDefault="00036223" w:rsidP="00036223">
      <w:pPr>
        <w:pStyle w:val="NoSpacing"/>
        <w:pBdr>
          <w:bottom w:val="single" w:sz="12" w:space="1" w:color="auto"/>
        </w:pBdr>
      </w:pPr>
      <w:r>
        <w:t xml:space="preserve">Journal articles: Via the library </w:t>
      </w:r>
      <w:hyperlink r:id="rId12" w:tgtFrame="_blank" w:tooltip="Ctrl+Clcik to go to Library homepage" w:history="1">
        <w:r w:rsidRPr="000B5D66">
          <w:rPr>
            <w:rStyle w:val="Hyperlink"/>
          </w:rPr>
          <w:t>homepage</w:t>
        </w:r>
      </w:hyperlink>
      <w:r>
        <w:t xml:space="preserve"> or ask a </w:t>
      </w:r>
      <w:hyperlink r:id="rId13" w:history="1">
        <w:r>
          <w:rPr>
            <w:rStyle w:val="Hyperlink"/>
          </w:rPr>
          <w:t>librarian</w:t>
        </w:r>
      </w:hyperlink>
      <w:r>
        <w:t xml:space="preserve"> to supply the article you require.</w:t>
      </w:r>
    </w:p>
    <w:p w:rsidR="00036223" w:rsidRDefault="00036223" w:rsidP="00036223">
      <w:pPr>
        <w:pStyle w:val="NoSpacing"/>
        <w:pBdr>
          <w:bottom w:val="single" w:sz="12" w:space="1" w:color="auto"/>
        </w:pBdr>
      </w:pPr>
    </w:p>
    <w:p w:rsidR="00036223" w:rsidRDefault="00036223" w:rsidP="00036223">
      <w:pPr>
        <w:pStyle w:val="NoSpacing"/>
        <w:pBdr>
          <w:bottom w:val="single" w:sz="12" w:space="1" w:color="auto"/>
        </w:pBdr>
      </w:pPr>
      <w:r>
        <w:t>Conference pods are available for zoom meetings.</w:t>
      </w:r>
    </w:p>
    <w:p w:rsidR="00036223" w:rsidRDefault="00036223" w:rsidP="00036223">
      <w:pPr>
        <w:pStyle w:val="NoSpacing"/>
        <w:pBdr>
          <w:bottom w:val="single" w:sz="12" w:space="1" w:color="auto"/>
        </w:pBdr>
      </w:pPr>
    </w:p>
    <w:p w:rsidR="00036223" w:rsidRPr="00FF0500" w:rsidRDefault="00036223" w:rsidP="00036223">
      <w:pPr>
        <w:pStyle w:val="NoSpacing"/>
        <w:pBdr>
          <w:bottom w:val="single" w:sz="12" w:space="1" w:color="auto"/>
        </w:pBdr>
        <w:jc w:val="center"/>
        <w:rPr>
          <w:b/>
        </w:rPr>
      </w:pPr>
      <w:r w:rsidRPr="00FF0500">
        <w:rPr>
          <w:b/>
        </w:rPr>
        <w:t>COPY AND PASTE THE LINKS INTO CHROME</w:t>
      </w:r>
    </w:p>
    <w:p w:rsidR="00B13E24" w:rsidRDefault="00B13E24" w:rsidP="00776DFD">
      <w:pPr>
        <w:ind w:right="2542"/>
        <w:rPr>
          <w:rFonts w:asciiTheme="minorHAnsi" w:hAnsiTheme="minorHAnsi" w:cstheme="minorHAnsi"/>
          <w:b/>
          <w:color w:val="FF6600"/>
        </w:rPr>
      </w:pPr>
    </w:p>
    <w:p w:rsidR="00960C10" w:rsidRDefault="00960C10">
      <w:pPr>
        <w:rPr>
          <w:rFonts w:asciiTheme="minorHAnsi" w:hAnsiTheme="minorHAnsi" w:cstheme="minorHAnsi"/>
        </w:rPr>
      </w:pPr>
      <w:r>
        <w:rPr>
          <w:rFonts w:asciiTheme="minorHAnsi" w:hAnsiTheme="minorHAnsi" w:cstheme="minorHAnsi"/>
          <w:b/>
        </w:rPr>
        <w:t xml:space="preserve">Introducing Lisa Wilson, the new Reference and Liaison Librarian.  </w:t>
      </w:r>
      <w:r>
        <w:rPr>
          <w:rFonts w:asciiTheme="minorHAnsi" w:hAnsiTheme="minorHAnsi" w:cstheme="minorHAnsi"/>
        </w:rPr>
        <w:t xml:space="preserve">Lisa replaces Brendan who has gone to a well-deserved retirement in Te Aroha.  </w:t>
      </w:r>
    </w:p>
    <w:p w:rsidR="00960C10" w:rsidRDefault="00960C10">
      <w:pPr>
        <w:rPr>
          <w:rFonts w:asciiTheme="minorHAnsi" w:hAnsiTheme="minorHAnsi" w:cstheme="minorHAnsi"/>
        </w:rPr>
      </w:pPr>
    </w:p>
    <w:p w:rsidR="00960C10" w:rsidRDefault="00960C10">
      <w:pPr>
        <w:rPr>
          <w:rFonts w:asciiTheme="minorHAnsi" w:hAnsiTheme="minorHAnsi" w:cstheme="minorHAnsi"/>
        </w:rPr>
      </w:pPr>
      <w:r>
        <w:rPr>
          <w:rFonts w:asciiTheme="minorHAnsi" w:hAnsiTheme="minorHAnsi" w:cstheme="minorHAnsi"/>
        </w:rPr>
        <w:t xml:space="preserve">Lisa comes to us via the public library and a school library.  </w:t>
      </w:r>
    </w:p>
    <w:p w:rsidR="00960C10" w:rsidRDefault="009F11F9">
      <w:pPr>
        <w:rPr>
          <w:rFonts w:asciiTheme="minorHAnsi" w:hAnsiTheme="minorHAnsi" w:cstheme="minorHAnsi"/>
        </w:rPr>
      </w:pPr>
      <w:r>
        <w:rPr>
          <w:noProof/>
          <w:lang w:eastAsia="en-NZ"/>
        </w:rPr>
        <w:drawing>
          <wp:anchor distT="0" distB="0" distL="114300" distR="114300" simplePos="0" relativeHeight="251658240" behindDoc="0" locked="0" layoutInCell="1" allowOverlap="1" wp14:anchorId="1C7F849F" wp14:editId="630F892C">
            <wp:simplePos x="0" y="0"/>
            <wp:positionH relativeFrom="column">
              <wp:posOffset>295910</wp:posOffset>
            </wp:positionH>
            <wp:positionV relativeFrom="paragraph">
              <wp:posOffset>182245</wp:posOffset>
            </wp:positionV>
            <wp:extent cx="1143000" cy="1597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597660"/>
                    </a:xfrm>
                    <a:prstGeom prst="rect">
                      <a:avLst/>
                    </a:prstGeom>
                  </pic:spPr>
                </pic:pic>
              </a:graphicData>
            </a:graphic>
            <wp14:sizeRelH relativeFrom="page">
              <wp14:pctWidth>0</wp14:pctWidth>
            </wp14:sizeRelH>
            <wp14:sizeRelV relativeFrom="page">
              <wp14:pctHeight>0</wp14:pctHeight>
            </wp14:sizeRelV>
          </wp:anchor>
        </w:drawing>
      </w:r>
    </w:p>
    <w:p w:rsidR="00293055" w:rsidRDefault="00960C10">
      <w:pPr>
        <w:rPr>
          <w:rFonts w:asciiTheme="minorHAnsi" w:hAnsiTheme="minorHAnsi" w:cstheme="minorHAnsi"/>
        </w:rPr>
      </w:pPr>
      <w:r>
        <w:rPr>
          <w:rFonts w:asciiTheme="minorHAnsi" w:hAnsiTheme="minorHAnsi" w:cstheme="minorHAnsi"/>
        </w:rPr>
        <w:t>Before moving to New Zealand 16 years ago, Lisa worked in the shipping industry for over 10 years, working as a Port Health Technician, inspecting ships f</w:t>
      </w:r>
      <w:r w:rsidR="00293055">
        <w:rPr>
          <w:rFonts w:asciiTheme="minorHAnsi" w:hAnsiTheme="minorHAnsi" w:cstheme="minorHAnsi"/>
        </w:rPr>
        <w:t>or pest control and food hygiene</w:t>
      </w:r>
      <w:r>
        <w:rPr>
          <w:rFonts w:asciiTheme="minorHAnsi" w:hAnsiTheme="minorHAnsi" w:cstheme="minorHAnsi"/>
        </w:rPr>
        <w:t>.</w:t>
      </w:r>
      <w:r w:rsidR="00293055">
        <w:rPr>
          <w:rFonts w:asciiTheme="minorHAnsi" w:hAnsiTheme="minorHAnsi" w:cstheme="minorHAnsi"/>
        </w:rPr>
        <w:t xml:space="preserve">  She says her family moved to New Zealand for the quality of family life. otorua is big enough to have all the needed amenities, but small enough to get to know a lot of people. </w:t>
      </w:r>
    </w:p>
    <w:p w:rsidR="00293055" w:rsidRDefault="00293055">
      <w:pPr>
        <w:rPr>
          <w:rFonts w:asciiTheme="minorHAnsi" w:hAnsiTheme="minorHAnsi" w:cstheme="minorHAnsi"/>
        </w:rPr>
      </w:pPr>
    </w:p>
    <w:p w:rsidR="00293055" w:rsidRDefault="00293055">
      <w:pPr>
        <w:rPr>
          <w:rFonts w:asciiTheme="minorHAnsi" w:hAnsiTheme="minorHAnsi" w:cstheme="minorHAnsi"/>
        </w:rPr>
      </w:pPr>
      <w:r>
        <w:rPr>
          <w:rFonts w:asciiTheme="minorHAnsi" w:hAnsiTheme="minorHAnsi" w:cstheme="minorHAnsi"/>
        </w:rPr>
        <w:t>The Lakes Clinical Library, provides specialised information resources to staff and health professionals in the community.</w:t>
      </w:r>
    </w:p>
    <w:p w:rsidR="00293055" w:rsidRDefault="00293055">
      <w:pPr>
        <w:rPr>
          <w:rFonts w:asciiTheme="minorHAnsi" w:hAnsiTheme="minorHAnsi" w:cstheme="minorHAnsi"/>
        </w:rPr>
      </w:pPr>
    </w:p>
    <w:p w:rsidR="009F11F9" w:rsidRDefault="00293055">
      <w:pPr>
        <w:rPr>
          <w:rFonts w:asciiTheme="minorHAnsi" w:hAnsiTheme="minorHAnsi" w:cstheme="minorHAnsi"/>
        </w:rPr>
      </w:pPr>
      <w:r>
        <w:rPr>
          <w:rFonts w:asciiTheme="minorHAnsi" w:hAnsiTheme="minorHAnsi" w:cstheme="minorHAnsi"/>
        </w:rPr>
        <w:t>Lisa’s role will include the promotion of the library and its services.</w:t>
      </w:r>
    </w:p>
    <w:p w:rsidR="00B13E24" w:rsidRDefault="00B13E24">
      <w:pPr>
        <w:rPr>
          <w:rFonts w:asciiTheme="minorHAnsi" w:hAnsiTheme="minorHAnsi" w:cstheme="minorHAnsi"/>
          <w:b/>
          <w:color w:val="FF6600"/>
        </w:rPr>
      </w:pPr>
      <w:r>
        <w:rPr>
          <w:rFonts w:asciiTheme="minorHAnsi" w:hAnsiTheme="minorHAnsi" w:cstheme="minorHAnsi"/>
          <w:b/>
          <w:color w:val="FF6600"/>
        </w:rPr>
        <w:br w:type="page"/>
      </w:r>
    </w:p>
    <w:sdt>
      <w:sdtPr>
        <w:rPr>
          <w:rFonts w:ascii="Times New Roman" w:eastAsia="Times New Roman" w:hAnsi="Times New Roman" w:cs="Times New Roman"/>
          <w:color w:val="auto"/>
          <w:sz w:val="24"/>
          <w:szCs w:val="24"/>
          <w:lang w:val="en-NZ"/>
        </w:rPr>
        <w:id w:val="-290282847"/>
        <w:docPartObj>
          <w:docPartGallery w:val="Table of Contents"/>
          <w:docPartUnique/>
        </w:docPartObj>
      </w:sdtPr>
      <w:sdtEndPr>
        <w:rPr>
          <w:b/>
          <w:bCs/>
          <w:noProof/>
        </w:rPr>
      </w:sdtEndPr>
      <w:sdtContent>
        <w:p w:rsidR="00B13E24" w:rsidRDefault="00B13E24">
          <w:pPr>
            <w:pStyle w:val="TOCHeading"/>
          </w:pPr>
          <w:r>
            <w:t>Contents</w:t>
          </w:r>
        </w:p>
        <w:p w:rsidR="00915803" w:rsidRDefault="00B13E24">
          <w:pPr>
            <w:pStyle w:val="TOC1"/>
            <w:tabs>
              <w:tab w:val="right" w:leader="dot" w:pos="8630"/>
            </w:tabs>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136609470" w:history="1">
            <w:r w:rsidR="00915803" w:rsidRPr="00A54600">
              <w:rPr>
                <w:rStyle w:val="Hyperlink"/>
                <w:b/>
                <w:noProof/>
              </w:rPr>
              <w:t>Heading</w:t>
            </w:r>
            <w:r w:rsidR="00915803">
              <w:rPr>
                <w:noProof/>
                <w:webHidden/>
              </w:rPr>
              <w:tab/>
            </w:r>
            <w:r w:rsidR="00915803">
              <w:rPr>
                <w:noProof/>
                <w:webHidden/>
              </w:rPr>
              <w:fldChar w:fldCharType="begin"/>
            </w:r>
            <w:r w:rsidR="00915803">
              <w:rPr>
                <w:noProof/>
                <w:webHidden/>
              </w:rPr>
              <w:instrText xml:space="preserve"> PAGEREF _Toc136609470 \h </w:instrText>
            </w:r>
            <w:r w:rsidR="00915803">
              <w:rPr>
                <w:noProof/>
                <w:webHidden/>
              </w:rPr>
            </w:r>
            <w:r w:rsidR="00915803">
              <w:rPr>
                <w:noProof/>
                <w:webHidden/>
              </w:rPr>
              <w:fldChar w:fldCharType="separate"/>
            </w:r>
            <w:r w:rsidR="00915803">
              <w:rPr>
                <w:noProof/>
                <w:webHidden/>
              </w:rPr>
              <w:t>4</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1" w:history="1">
            <w:r w:rsidR="00915803" w:rsidRPr="00A54600">
              <w:rPr>
                <w:rStyle w:val="Hyperlink"/>
                <w:b/>
                <w:noProof/>
              </w:rPr>
              <w:t>Diet, Healthy</w:t>
            </w:r>
            <w:r w:rsidR="00915803">
              <w:rPr>
                <w:noProof/>
                <w:webHidden/>
              </w:rPr>
              <w:tab/>
            </w:r>
            <w:r w:rsidR="00915803">
              <w:rPr>
                <w:noProof/>
                <w:webHidden/>
              </w:rPr>
              <w:fldChar w:fldCharType="begin"/>
            </w:r>
            <w:r w:rsidR="00915803">
              <w:rPr>
                <w:noProof/>
                <w:webHidden/>
              </w:rPr>
              <w:instrText xml:space="preserve"> PAGEREF _Toc136609471 \h </w:instrText>
            </w:r>
            <w:r w:rsidR="00915803">
              <w:rPr>
                <w:noProof/>
                <w:webHidden/>
              </w:rPr>
            </w:r>
            <w:r w:rsidR="00915803">
              <w:rPr>
                <w:noProof/>
                <w:webHidden/>
              </w:rPr>
              <w:fldChar w:fldCharType="separate"/>
            </w:r>
            <w:r w:rsidR="00915803">
              <w:rPr>
                <w:noProof/>
                <w:webHidden/>
              </w:rPr>
              <w:t>4</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2" w:history="1">
            <w:r w:rsidR="00915803" w:rsidRPr="00A54600">
              <w:rPr>
                <w:rStyle w:val="Hyperlink"/>
                <w:b/>
                <w:noProof/>
              </w:rPr>
              <w:t>Emergency Department</w:t>
            </w:r>
            <w:r w:rsidR="00915803">
              <w:rPr>
                <w:noProof/>
                <w:webHidden/>
              </w:rPr>
              <w:tab/>
            </w:r>
            <w:r w:rsidR="00915803">
              <w:rPr>
                <w:noProof/>
                <w:webHidden/>
              </w:rPr>
              <w:fldChar w:fldCharType="begin"/>
            </w:r>
            <w:r w:rsidR="00915803">
              <w:rPr>
                <w:noProof/>
                <w:webHidden/>
              </w:rPr>
              <w:instrText xml:space="preserve"> PAGEREF _Toc136609472 \h </w:instrText>
            </w:r>
            <w:r w:rsidR="00915803">
              <w:rPr>
                <w:noProof/>
                <w:webHidden/>
              </w:rPr>
            </w:r>
            <w:r w:rsidR="00915803">
              <w:rPr>
                <w:noProof/>
                <w:webHidden/>
              </w:rPr>
              <w:fldChar w:fldCharType="separate"/>
            </w:r>
            <w:r w:rsidR="00915803">
              <w:rPr>
                <w:noProof/>
                <w:webHidden/>
              </w:rPr>
              <w:t>5</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3" w:history="1">
            <w:r w:rsidR="00915803" w:rsidRPr="00A54600">
              <w:rPr>
                <w:rStyle w:val="Hyperlink"/>
                <w:b/>
                <w:noProof/>
              </w:rPr>
              <w:t>Maori</w:t>
            </w:r>
            <w:r w:rsidR="00915803">
              <w:rPr>
                <w:noProof/>
                <w:webHidden/>
              </w:rPr>
              <w:tab/>
            </w:r>
            <w:r w:rsidR="00915803">
              <w:rPr>
                <w:noProof/>
                <w:webHidden/>
              </w:rPr>
              <w:fldChar w:fldCharType="begin"/>
            </w:r>
            <w:r w:rsidR="00915803">
              <w:rPr>
                <w:noProof/>
                <w:webHidden/>
              </w:rPr>
              <w:instrText xml:space="preserve"> PAGEREF _Toc136609473 \h </w:instrText>
            </w:r>
            <w:r w:rsidR="00915803">
              <w:rPr>
                <w:noProof/>
                <w:webHidden/>
              </w:rPr>
            </w:r>
            <w:r w:rsidR="00915803">
              <w:rPr>
                <w:noProof/>
                <w:webHidden/>
              </w:rPr>
              <w:fldChar w:fldCharType="separate"/>
            </w:r>
            <w:r w:rsidR="00915803">
              <w:rPr>
                <w:noProof/>
                <w:webHidden/>
              </w:rPr>
              <w:t>5</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4" w:history="1">
            <w:r w:rsidR="00915803" w:rsidRPr="00A54600">
              <w:rPr>
                <w:rStyle w:val="Hyperlink"/>
                <w:b/>
                <w:noProof/>
              </w:rPr>
              <w:t>Maori mental health</w:t>
            </w:r>
            <w:r w:rsidR="00915803">
              <w:rPr>
                <w:noProof/>
                <w:webHidden/>
              </w:rPr>
              <w:tab/>
            </w:r>
            <w:r w:rsidR="00915803">
              <w:rPr>
                <w:noProof/>
                <w:webHidden/>
              </w:rPr>
              <w:fldChar w:fldCharType="begin"/>
            </w:r>
            <w:r w:rsidR="00915803">
              <w:rPr>
                <w:noProof/>
                <w:webHidden/>
              </w:rPr>
              <w:instrText xml:space="preserve"> PAGEREF _Toc136609474 \h </w:instrText>
            </w:r>
            <w:r w:rsidR="00915803">
              <w:rPr>
                <w:noProof/>
                <w:webHidden/>
              </w:rPr>
            </w:r>
            <w:r w:rsidR="00915803">
              <w:rPr>
                <w:noProof/>
                <w:webHidden/>
              </w:rPr>
              <w:fldChar w:fldCharType="separate"/>
            </w:r>
            <w:r w:rsidR="00915803">
              <w:rPr>
                <w:noProof/>
                <w:webHidden/>
              </w:rPr>
              <w:t>5</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5" w:history="1">
            <w:r w:rsidR="00915803" w:rsidRPr="00A54600">
              <w:rPr>
                <w:rStyle w:val="Hyperlink"/>
                <w:b/>
                <w:noProof/>
              </w:rPr>
              <w:t>Sleep</w:t>
            </w:r>
            <w:r w:rsidR="00915803">
              <w:rPr>
                <w:noProof/>
                <w:webHidden/>
              </w:rPr>
              <w:tab/>
            </w:r>
            <w:r w:rsidR="00915803">
              <w:rPr>
                <w:noProof/>
                <w:webHidden/>
              </w:rPr>
              <w:fldChar w:fldCharType="begin"/>
            </w:r>
            <w:r w:rsidR="00915803">
              <w:rPr>
                <w:noProof/>
                <w:webHidden/>
              </w:rPr>
              <w:instrText xml:space="preserve"> PAGEREF _Toc136609475 \h </w:instrText>
            </w:r>
            <w:r w:rsidR="00915803">
              <w:rPr>
                <w:noProof/>
                <w:webHidden/>
              </w:rPr>
            </w:r>
            <w:r w:rsidR="00915803">
              <w:rPr>
                <w:noProof/>
                <w:webHidden/>
              </w:rPr>
              <w:fldChar w:fldCharType="separate"/>
            </w:r>
            <w:r w:rsidR="00915803">
              <w:rPr>
                <w:noProof/>
                <w:webHidden/>
              </w:rPr>
              <w:t>6</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6" w:history="1">
            <w:r w:rsidR="00915803" w:rsidRPr="00A54600">
              <w:rPr>
                <w:rStyle w:val="Hyperlink"/>
                <w:b/>
                <w:noProof/>
              </w:rPr>
              <w:t>Transgender</w:t>
            </w:r>
            <w:r w:rsidR="00915803">
              <w:rPr>
                <w:noProof/>
                <w:webHidden/>
              </w:rPr>
              <w:tab/>
            </w:r>
            <w:r w:rsidR="00915803">
              <w:rPr>
                <w:noProof/>
                <w:webHidden/>
              </w:rPr>
              <w:fldChar w:fldCharType="begin"/>
            </w:r>
            <w:r w:rsidR="00915803">
              <w:rPr>
                <w:noProof/>
                <w:webHidden/>
              </w:rPr>
              <w:instrText xml:space="preserve"> PAGEREF _Toc136609476 \h </w:instrText>
            </w:r>
            <w:r w:rsidR="00915803">
              <w:rPr>
                <w:noProof/>
                <w:webHidden/>
              </w:rPr>
            </w:r>
            <w:r w:rsidR="00915803">
              <w:rPr>
                <w:noProof/>
                <w:webHidden/>
              </w:rPr>
              <w:fldChar w:fldCharType="separate"/>
            </w:r>
            <w:r w:rsidR="00915803">
              <w:rPr>
                <w:noProof/>
                <w:webHidden/>
              </w:rPr>
              <w:t>6</w:t>
            </w:r>
            <w:r w:rsidR="00915803">
              <w:rPr>
                <w:noProof/>
                <w:webHidden/>
              </w:rPr>
              <w:fldChar w:fldCharType="end"/>
            </w:r>
          </w:hyperlink>
        </w:p>
        <w:p w:rsidR="00915803" w:rsidRDefault="000F7A7D">
          <w:pPr>
            <w:pStyle w:val="TOC1"/>
            <w:tabs>
              <w:tab w:val="right" w:leader="dot" w:pos="8630"/>
            </w:tabs>
            <w:rPr>
              <w:rFonts w:asciiTheme="minorHAnsi" w:eastAsiaTheme="minorEastAsia" w:hAnsiTheme="minorHAnsi" w:cstheme="minorBidi"/>
              <w:noProof/>
              <w:sz w:val="22"/>
              <w:szCs w:val="22"/>
              <w:lang w:eastAsia="en-NZ"/>
            </w:rPr>
          </w:pPr>
          <w:hyperlink w:anchor="_Toc136609477" w:history="1">
            <w:r w:rsidR="00915803" w:rsidRPr="00A54600">
              <w:rPr>
                <w:rStyle w:val="Hyperlink"/>
                <w:b/>
                <w:noProof/>
              </w:rPr>
              <w:t>Urinary tract infections</w:t>
            </w:r>
            <w:r w:rsidR="00915803">
              <w:rPr>
                <w:noProof/>
                <w:webHidden/>
              </w:rPr>
              <w:tab/>
            </w:r>
            <w:r w:rsidR="00915803">
              <w:rPr>
                <w:noProof/>
                <w:webHidden/>
              </w:rPr>
              <w:fldChar w:fldCharType="begin"/>
            </w:r>
            <w:r w:rsidR="00915803">
              <w:rPr>
                <w:noProof/>
                <w:webHidden/>
              </w:rPr>
              <w:instrText xml:space="preserve"> PAGEREF _Toc136609477 \h </w:instrText>
            </w:r>
            <w:r w:rsidR="00915803">
              <w:rPr>
                <w:noProof/>
                <w:webHidden/>
              </w:rPr>
            </w:r>
            <w:r w:rsidR="00915803">
              <w:rPr>
                <w:noProof/>
                <w:webHidden/>
              </w:rPr>
              <w:fldChar w:fldCharType="separate"/>
            </w:r>
            <w:r w:rsidR="00915803">
              <w:rPr>
                <w:noProof/>
                <w:webHidden/>
              </w:rPr>
              <w:t>7</w:t>
            </w:r>
            <w:r w:rsidR="00915803">
              <w:rPr>
                <w:noProof/>
                <w:webHidden/>
              </w:rPr>
              <w:fldChar w:fldCharType="end"/>
            </w:r>
          </w:hyperlink>
        </w:p>
        <w:p w:rsidR="00B13E24" w:rsidRDefault="00B13E24">
          <w:r>
            <w:rPr>
              <w:b/>
              <w:bCs/>
              <w:noProof/>
            </w:rPr>
            <w:fldChar w:fldCharType="end"/>
          </w:r>
        </w:p>
      </w:sdtContent>
    </w:sdt>
    <w:p w:rsidR="00B13E24" w:rsidRDefault="00B13E24">
      <w:pPr>
        <w:rPr>
          <w:rFonts w:asciiTheme="minorHAnsi" w:hAnsiTheme="minorHAnsi" w:cstheme="minorHAnsi"/>
          <w:b/>
          <w:color w:val="FF6600"/>
        </w:rPr>
      </w:pPr>
      <w:r>
        <w:rPr>
          <w:rFonts w:asciiTheme="minorHAnsi" w:hAnsiTheme="minorHAnsi" w:cstheme="minorHAnsi"/>
          <w:b/>
          <w:color w:val="FF6600"/>
        </w:rPr>
        <w:br w:type="page"/>
      </w:r>
    </w:p>
    <w:p w:rsidR="00B13E24" w:rsidRDefault="00B13E24">
      <w:pPr>
        <w:rPr>
          <w:rFonts w:asciiTheme="minorHAnsi" w:hAnsiTheme="minorHAnsi" w:cstheme="minorHAnsi"/>
          <w:b/>
          <w:color w:val="FF6600"/>
        </w:rPr>
      </w:pPr>
    </w:p>
    <w:p w:rsidR="00B13E24" w:rsidRDefault="00B13E24" w:rsidP="00776DFD">
      <w:pPr>
        <w:ind w:right="2542"/>
        <w:rPr>
          <w:rFonts w:asciiTheme="minorHAnsi" w:hAnsiTheme="minorHAnsi" w:cstheme="minorHAnsi"/>
          <w:b/>
          <w:color w:val="FF6600"/>
        </w:rPr>
      </w:pPr>
    </w:p>
    <w:p w:rsidR="00B13E24" w:rsidRDefault="00B13E24" w:rsidP="00776DFD">
      <w:pPr>
        <w:ind w:right="2542"/>
        <w:rPr>
          <w:rFonts w:asciiTheme="minorHAnsi" w:hAnsiTheme="minorHAnsi" w:cstheme="minorHAnsi"/>
          <w:b/>
          <w:color w:val="FF6600"/>
        </w:rPr>
      </w:pPr>
    </w:p>
    <w:p w:rsidR="009D4813" w:rsidRDefault="00776DFD" w:rsidP="00776DFD">
      <w:pPr>
        <w:ind w:right="2542"/>
        <w:rPr>
          <w:rFonts w:asciiTheme="minorHAnsi" w:hAnsiTheme="minorHAnsi" w:cstheme="minorHAnsi"/>
        </w:rPr>
      </w:pPr>
      <w:r w:rsidRPr="007820F3">
        <w:rPr>
          <w:rFonts w:asciiTheme="minorHAnsi" w:hAnsiTheme="minorHAnsi" w:cstheme="minorHAnsi"/>
          <w:b/>
          <w:color w:val="FF0000"/>
        </w:rPr>
        <w:t>Title</w:t>
      </w:r>
      <w:r w:rsidRPr="00776DFD">
        <w:rPr>
          <w:rFonts w:asciiTheme="minorHAnsi" w:hAnsiTheme="minorHAnsi" w:cstheme="minorHAnsi"/>
          <w:b/>
          <w:color w:val="FF6600"/>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13E24">
        <w:rPr>
          <w:rFonts w:asciiTheme="minorHAnsi" w:hAnsiTheme="minorHAnsi" w:cstheme="minorHAnsi"/>
        </w:rPr>
        <w:t>as;ldkfajsldkfjas;ldfkjsa;dlfk</w:t>
      </w:r>
    </w:p>
    <w:p w:rsidR="00776DFD" w:rsidRDefault="00776DFD" w:rsidP="00776DFD">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aslkdfasl a;lsdkfjaslkdf</w:t>
      </w:r>
    </w:p>
    <w:p w:rsidR="00776DFD" w:rsidRDefault="00776DFD" w:rsidP="00776DFD">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laksdfja a;lskdjfasf</w:t>
      </w:r>
    </w:p>
    <w:p w:rsidR="00776DFD" w:rsidRDefault="00776DFD" w:rsidP="00776DFD">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;lkj; lkj lkj </w:t>
      </w:r>
    </w:p>
    <w:p w:rsidR="00776DFD" w:rsidRPr="00776DFD" w:rsidRDefault="00776DFD" w:rsidP="00776DFD">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lk;lk; ;lk;</w:t>
      </w:r>
      <w:r>
        <w:rPr>
          <w:rFonts w:asciiTheme="minorHAnsi" w:hAnsiTheme="minorHAnsi" w:cstheme="minorHAnsi"/>
        </w:rPr>
        <w:tab/>
      </w:r>
    </w:p>
    <w:p w:rsidR="00776DFD" w:rsidRDefault="00776DFD" w:rsidP="00776DFD">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t>Click here</w:t>
      </w:r>
    </w:p>
    <w:p w:rsidR="00776DFD" w:rsidRDefault="00776DFD" w:rsidP="00776DFD">
      <w:pPr>
        <w:ind w:right="2542"/>
        <w:rPr>
          <w:rFonts w:asciiTheme="minorHAnsi" w:hAnsiTheme="minorHAnsi" w:cstheme="minorHAnsi"/>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Pr>
          <w:rFonts w:asciiTheme="minorHAnsi" w:hAnsiTheme="minorHAnsi" w:cstheme="minorHAnsi"/>
        </w:rPr>
        <w:tab/>
      </w:r>
      <w:r w:rsidRPr="00CB3FC2">
        <w:rPr>
          <w:rFonts w:asciiTheme="minorHAnsi" w:hAnsiTheme="minorHAnsi" w:cstheme="minorHAnsi"/>
          <w:sz w:val="22"/>
          <w:szCs w:val="22"/>
        </w:rPr>
        <w:t>a;sldkfjasldkf alskdfja;slkfdj</w:t>
      </w:r>
    </w:p>
    <w:p w:rsidR="002F50E1" w:rsidRDefault="002F50E1" w:rsidP="00776DFD">
      <w:pPr>
        <w:ind w:right="2542"/>
        <w:rPr>
          <w:rFonts w:asciiTheme="minorHAnsi" w:hAnsiTheme="minorHAnsi" w:cstheme="minorHAnsi"/>
        </w:rPr>
      </w:pPr>
    </w:p>
    <w:p w:rsidR="002F50E1" w:rsidRDefault="002F50E1" w:rsidP="00776DFD">
      <w:pPr>
        <w:ind w:right="2542"/>
        <w:rPr>
          <w:rFonts w:asciiTheme="minorHAnsi" w:hAnsiTheme="minorHAnsi" w:cstheme="minorHAnsi"/>
        </w:rPr>
      </w:pPr>
    </w:p>
    <w:p w:rsidR="002F50E1" w:rsidRPr="002F50E1" w:rsidRDefault="002F50E1" w:rsidP="002F50E1">
      <w:pPr>
        <w:pStyle w:val="Heading1"/>
        <w:rPr>
          <w:b/>
          <w:color w:val="FF6600"/>
          <w:sz w:val="28"/>
          <w:szCs w:val="28"/>
        </w:rPr>
      </w:pPr>
      <w:bookmarkStart w:id="0" w:name="_Toc136609470"/>
      <w:r w:rsidRPr="002F50E1">
        <w:rPr>
          <w:b/>
          <w:color w:val="FF6600"/>
          <w:sz w:val="28"/>
          <w:szCs w:val="28"/>
        </w:rPr>
        <w:t>Heading</w:t>
      </w:r>
      <w:bookmarkEnd w:id="0"/>
    </w:p>
    <w:p w:rsidR="002F50E1" w:rsidRDefault="002F50E1" w:rsidP="00F9301E">
      <w:pPr>
        <w:ind w:right="-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3744A">
        <w:rPr>
          <w:rFonts w:asciiTheme="minorHAnsi" w:hAnsiTheme="minorHAnsi" w:cstheme="minorHAnsi"/>
        </w:rPr>
        <w:t>asldkfjaf</w:t>
      </w:r>
    </w:p>
    <w:p w:rsidR="002F50E1" w:rsidRDefault="002F50E1" w:rsidP="002F50E1">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r>
      <w:r w:rsidR="0093744A">
        <w:rPr>
          <w:rFonts w:asciiTheme="minorHAnsi" w:hAnsiTheme="minorHAnsi" w:cstheme="minorHAnsi"/>
        </w:rPr>
        <w:t>a;sldkfja</w:t>
      </w:r>
    </w:p>
    <w:p w:rsidR="002F50E1" w:rsidRDefault="002F50E1" w:rsidP="002F50E1">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r>
      <w:r w:rsidR="0093744A">
        <w:rPr>
          <w:rFonts w:asciiTheme="minorHAnsi" w:hAnsiTheme="minorHAnsi" w:cstheme="minorHAnsi"/>
        </w:rPr>
        <w:t>a;slkdfjas;</w:t>
      </w:r>
    </w:p>
    <w:p w:rsidR="002F50E1" w:rsidRDefault="002F50E1" w:rsidP="002F50E1">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3744A">
        <w:rPr>
          <w:rFonts w:asciiTheme="minorHAnsi" w:hAnsiTheme="minorHAnsi" w:cstheme="minorHAnsi"/>
        </w:rPr>
        <w:t>alskdfjas</w:t>
      </w:r>
      <w:r>
        <w:rPr>
          <w:rFonts w:asciiTheme="minorHAnsi" w:hAnsiTheme="minorHAnsi" w:cstheme="minorHAnsi"/>
        </w:rPr>
        <w:t xml:space="preserve"> </w:t>
      </w:r>
    </w:p>
    <w:p w:rsidR="002F50E1" w:rsidRPr="00776DFD" w:rsidRDefault="002F50E1" w:rsidP="002F50E1">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3744A">
        <w:rPr>
          <w:rFonts w:asciiTheme="minorHAnsi" w:hAnsiTheme="minorHAnsi" w:cstheme="minorHAnsi"/>
        </w:rPr>
        <w:t>asldkfaj</w:t>
      </w:r>
    </w:p>
    <w:p w:rsidR="002F50E1" w:rsidRDefault="002F50E1" w:rsidP="002F50E1">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t>Click here</w:t>
      </w:r>
    </w:p>
    <w:p w:rsidR="002F50E1" w:rsidRPr="00CB3FC2" w:rsidRDefault="002F50E1" w:rsidP="00F9301E">
      <w:pPr>
        <w:ind w:right="-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Pr>
          <w:rFonts w:asciiTheme="minorHAnsi" w:hAnsiTheme="minorHAnsi" w:cstheme="minorHAnsi"/>
        </w:rPr>
        <w:tab/>
      </w:r>
      <w:r w:rsidR="0093744A" w:rsidRPr="00CB3FC2">
        <w:rPr>
          <w:rFonts w:asciiTheme="minorHAnsi" w:hAnsiTheme="minorHAnsi" w:cstheme="minorHAnsi"/>
          <w:sz w:val="22"/>
          <w:szCs w:val="22"/>
        </w:rPr>
        <w:t>asldkfja</w:t>
      </w:r>
    </w:p>
    <w:p w:rsidR="002F50E1" w:rsidRDefault="002F50E1" w:rsidP="002F50E1">
      <w:pPr>
        <w:ind w:right="2542"/>
        <w:rPr>
          <w:rFonts w:asciiTheme="minorHAnsi" w:hAnsiTheme="minorHAnsi" w:cstheme="minorHAnsi"/>
        </w:rPr>
      </w:pPr>
    </w:p>
    <w:p w:rsidR="00E13C7E" w:rsidRDefault="00E13C7E" w:rsidP="002F50E1">
      <w:pPr>
        <w:ind w:right="2542"/>
        <w:rPr>
          <w:rFonts w:asciiTheme="minorHAnsi" w:hAnsiTheme="minorHAnsi" w:cstheme="minorHAnsi"/>
        </w:rPr>
      </w:pPr>
    </w:p>
    <w:p w:rsidR="002C56CD" w:rsidRDefault="002C56CD" w:rsidP="002F50E1">
      <w:pPr>
        <w:ind w:right="2542"/>
        <w:rPr>
          <w:rFonts w:asciiTheme="minorHAnsi" w:hAnsiTheme="minorHAnsi" w:cstheme="minorHAnsi"/>
        </w:rPr>
      </w:pPr>
    </w:p>
    <w:p w:rsidR="002C56CD" w:rsidRPr="002F50E1" w:rsidRDefault="002C56CD" w:rsidP="002C56CD">
      <w:pPr>
        <w:pStyle w:val="Heading1"/>
        <w:rPr>
          <w:b/>
          <w:color w:val="FF6600"/>
          <w:sz w:val="28"/>
          <w:szCs w:val="28"/>
        </w:rPr>
      </w:pPr>
      <w:bookmarkStart w:id="1" w:name="_Toc136609471"/>
      <w:r>
        <w:rPr>
          <w:b/>
          <w:color w:val="FF6600"/>
          <w:sz w:val="28"/>
          <w:szCs w:val="28"/>
        </w:rPr>
        <w:t>Diet</w:t>
      </w:r>
      <w:bookmarkEnd w:id="1"/>
    </w:p>
    <w:p w:rsidR="002C56CD" w:rsidRDefault="002C56CD" w:rsidP="002C56CD">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2C56CD">
        <w:rPr>
          <w:rFonts w:asciiTheme="minorHAnsi" w:hAnsiTheme="minorHAnsi" w:cstheme="minorHAnsi"/>
        </w:rPr>
        <w:t>Associations between socioeconomic</w:t>
      </w:r>
      <w:r>
        <w:rPr>
          <w:rFonts w:asciiTheme="minorHAnsi" w:hAnsiTheme="minorHAnsi" w:cstheme="minorHAnsi"/>
        </w:rPr>
        <w:t xml:space="preserve"> </w:t>
      </w:r>
      <w:r w:rsidRPr="002C56CD">
        <w:rPr>
          <w:rFonts w:asciiTheme="minorHAnsi" w:hAnsiTheme="minorHAnsi" w:cstheme="minorHAnsi"/>
        </w:rPr>
        <w:t>status, home food availability, parental remodelling, and children’s fruit and vegetable</w:t>
      </w:r>
      <w:r>
        <w:rPr>
          <w:rFonts w:asciiTheme="minorHAnsi" w:hAnsiTheme="minorHAnsi" w:cstheme="minorHAnsi"/>
        </w:rPr>
        <w:t xml:space="preserve"> </w:t>
      </w:r>
      <w:r w:rsidRPr="002C56CD">
        <w:rPr>
          <w:rFonts w:asciiTheme="minorHAnsi" w:hAnsiTheme="minorHAnsi" w:cstheme="minorHAnsi"/>
        </w:rPr>
        <w:t>consumption: a mediation analysis</w:t>
      </w:r>
    </w:p>
    <w:p w:rsidR="002C56CD" w:rsidRDefault="002C56CD" w:rsidP="002C56CD">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Serasinghe, N.</w:t>
      </w:r>
    </w:p>
    <w:p w:rsidR="002C56CD" w:rsidRDefault="002C56CD" w:rsidP="002C56CD">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BMC public health</w:t>
      </w:r>
    </w:p>
    <w:p w:rsidR="002C56CD" w:rsidRDefault="002C56CD" w:rsidP="002C56CD">
      <w:pPr>
        <w:ind w:right="-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C56CD">
        <w:rPr>
          <w:rFonts w:asciiTheme="minorHAnsi" w:hAnsiTheme="minorHAnsi" w:cstheme="minorHAnsi"/>
        </w:rPr>
        <w:t>https://doi.org/10.1186/s12889-023-15879-2</w:t>
      </w:r>
    </w:p>
    <w:p w:rsidR="002C56CD" w:rsidRPr="00776DFD" w:rsidRDefault="002C56CD" w:rsidP="002C56CD">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459CA">
        <w:rPr>
          <w:rFonts w:asciiTheme="minorHAnsi" w:hAnsiTheme="minorHAnsi" w:cstheme="minorHAnsi"/>
        </w:rPr>
        <w:t>2023</w:t>
      </w:r>
    </w:p>
    <w:p w:rsidR="002C56CD" w:rsidRDefault="002C56CD" w:rsidP="002C56CD">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15" w:history="1">
        <w:r w:rsidRPr="006459CA">
          <w:rPr>
            <w:rStyle w:val="Hyperlink"/>
            <w:rFonts w:asciiTheme="minorHAnsi" w:hAnsiTheme="minorHAnsi" w:cstheme="minorHAnsi"/>
          </w:rPr>
          <w:t>Click here</w:t>
        </w:r>
      </w:hyperlink>
    </w:p>
    <w:p w:rsidR="002C56CD" w:rsidRDefault="002C56CD" w:rsidP="006459CA">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sidR="006459CA" w:rsidRPr="006459CA">
        <w:rPr>
          <w:rFonts w:asciiTheme="minorHAnsi" w:hAnsiTheme="minorHAnsi" w:cstheme="minorHAnsi"/>
          <w:sz w:val="22"/>
          <w:szCs w:val="22"/>
        </w:rPr>
        <w:t xml:space="preserve">Parental educational level showed more associations with children’s </w:t>
      </w:r>
      <w:r w:rsidR="006459CA">
        <w:rPr>
          <w:rFonts w:asciiTheme="minorHAnsi" w:hAnsiTheme="minorHAnsi" w:cstheme="minorHAnsi"/>
          <w:sz w:val="22"/>
          <w:szCs w:val="22"/>
        </w:rPr>
        <w:t xml:space="preserve">fruit &amp; vegetable </w:t>
      </w:r>
      <w:r w:rsidR="006459CA" w:rsidRPr="006459CA">
        <w:rPr>
          <w:rFonts w:asciiTheme="minorHAnsi" w:hAnsiTheme="minorHAnsi" w:cstheme="minorHAnsi"/>
          <w:sz w:val="22"/>
          <w:szCs w:val="22"/>
        </w:rPr>
        <w:t>consumption than relative</w:t>
      </w:r>
      <w:r w:rsidR="006459CA">
        <w:rPr>
          <w:rFonts w:asciiTheme="minorHAnsi" w:hAnsiTheme="minorHAnsi" w:cstheme="minorHAnsi"/>
          <w:sz w:val="22"/>
          <w:szCs w:val="22"/>
        </w:rPr>
        <w:t xml:space="preserve"> </w:t>
      </w:r>
      <w:r w:rsidR="006459CA" w:rsidRPr="006459CA">
        <w:rPr>
          <w:rFonts w:asciiTheme="minorHAnsi" w:hAnsiTheme="minorHAnsi" w:cstheme="minorHAnsi"/>
          <w:sz w:val="22"/>
          <w:szCs w:val="22"/>
        </w:rPr>
        <w:t xml:space="preserve">family income. Our findings suggest that reducing the availability of </w:t>
      </w:r>
      <w:r w:rsidR="006459CA">
        <w:rPr>
          <w:rFonts w:asciiTheme="minorHAnsi" w:hAnsiTheme="minorHAnsi" w:cstheme="minorHAnsi"/>
          <w:sz w:val="22"/>
          <w:szCs w:val="22"/>
        </w:rPr>
        <w:t>sugary food and drink</w:t>
      </w:r>
      <w:r w:rsidR="006459CA" w:rsidRPr="006459CA">
        <w:rPr>
          <w:rFonts w:asciiTheme="minorHAnsi" w:hAnsiTheme="minorHAnsi" w:cstheme="minorHAnsi"/>
          <w:sz w:val="22"/>
          <w:szCs w:val="22"/>
        </w:rPr>
        <w:t xml:space="preserve"> is as important as increasing the availability</w:t>
      </w:r>
      <w:r w:rsidR="006459CA">
        <w:rPr>
          <w:rFonts w:asciiTheme="minorHAnsi" w:hAnsiTheme="minorHAnsi" w:cstheme="minorHAnsi"/>
          <w:sz w:val="22"/>
          <w:szCs w:val="22"/>
        </w:rPr>
        <w:t xml:space="preserve"> </w:t>
      </w:r>
      <w:r w:rsidR="006459CA" w:rsidRPr="006459CA">
        <w:rPr>
          <w:rFonts w:asciiTheme="minorHAnsi" w:hAnsiTheme="minorHAnsi" w:cstheme="minorHAnsi"/>
          <w:sz w:val="22"/>
          <w:szCs w:val="22"/>
        </w:rPr>
        <w:t xml:space="preserve">of </w:t>
      </w:r>
      <w:r w:rsidR="006459CA">
        <w:rPr>
          <w:rFonts w:asciiTheme="minorHAnsi" w:hAnsiTheme="minorHAnsi" w:cstheme="minorHAnsi"/>
          <w:sz w:val="22"/>
          <w:szCs w:val="22"/>
        </w:rPr>
        <w:t>fruit and vegetables</w:t>
      </w:r>
      <w:r w:rsidR="006459CA" w:rsidRPr="006459CA">
        <w:rPr>
          <w:rFonts w:asciiTheme="minorHAnsi" w:hAnsiTheme="minorHAnsi" w:cstheme="minorHAnsi"/>
          <w:sz w:val="22"/>
          <w:szCs w:val="22"/>
        </w:rPr>
        <w:t xml:space="preserve"> to enhance children’s </w:t>
      </w:r>
      <w:r w:rsidR="006459CA">
        <w:rPr>
          <w:rFonts w:asciiTheme="minorHAnsi" w:hAnsiTheme="minorHAnsi" w:cstheme="minorHAnsi"/>
          <w:sz w:val="22"/>
          <w:szCs w:val="22"/>
        </w:rPr>
        <w:t>fruit and vegetable</w:t>
      </w:r>
      <w:r w:rsidR="006459CA" w:rsidRPr="006459CA">
        <w:rPr>
          <w:rFonts w:asciiTheme="minorHAnsi" w:hAnsiTheme="minorHAnsi" w:cstheme="minorHAnsi"/>
          <w:sz w:val="22"/>
          <w:szCs w:val="22"/>
        </w:rPr>
        <w:t xml:space="preserve"> consumption.</w:t>
      </w:r>
    </w:p>
    <w:p w:rsidR="00F511C0" w:rsidRDefault="00F511C0" w:rsidP="006459CA">
      <w:pPr>
        <w:ind w:left="2127" w:right="-7" w:hanging="2127"/>
        <w:rPr>
          <w:rFonts w:asciiTheme="minorHAnsi" w:hAnsiTheme="minorHAnsi" w:cstheme="minorHAnsi"/>
          <w:sz w:val="22"/>
          <w:szCs w:val="22"/>
        </w:rPr>
      </w:pPr>
    </w:p>
    <w:p w:rsidR="000F7A7D" w:rsidRDefault="000F7A7D" w:rsidP="006459CA">
      <w:pPr>
        <w:ind w:left="2127" w:right="-7" w:hanging="2127"/>
        <w:rPr>
          <w:rFonts w:asciiTheme="minorHAnsi" w:hAnsiTheme="minorHAnsi" w:cstheme="minorHAnsi"/>
          <w:sz w:val="22"/>
          <w:szCs w:val="22"/>
        </w:rPr>
      </w:pPr>
    </w:p>
    <w:p w:rsidR="000F7A7D" w:rsidRDefault="000F7A7D" w:rsidP="000F7A7D">
      <w:pPr>
        <w:ind w:left="2127" w:right="-7" w:hanging="2127"/>
        <w:rPr>
          <w:rFonts w:asciiTheme="minorHAnsi" w:hAnsiTheme="minorHAnsi" w:cstheme="minorHAnsi"/>
        </w:rPr>
      </w:pPr>
      <w:r w:rsidRPr="007820F3">
        <w:rPr>
          <w:rFonts w:asciiTheme="minorHAnsi" w:hAnsiTheme="minorHAnsi" w:cstheme="minorHAnsi"/>
          <w:b/>
          <w:color w:val="FF0000"/>
        </w:rPr>
        <w:t>Title</w:t>
      </w:r>
      <w:r w:rsidRPr="00776DFD">
        <w:rPr>
          <w:rFonts w:asciiTheme="minorHAnsi" w:hAnsiTheme="minorHAnsi" w:cstheme="minorHAnsi"/>
          <w:b/>
          <w:color w:val="FF6600"/>
        </w:rPr>
        <w:t>:</w:t>
      </w:r>
      <w:r>
        <w:rPr>
          <w:rFonts w:asciiTheme="minorHAnsi" w:hAnsiTheme="minorHAnsi" w:cstheme="minorHAnsi"/>
        </w:rPr>
        <w:tab/>
      </w:r>
      <w:r>
        <w:rPr>
          <w:rFonts w:asciiTheme="minorHAnsi" w:hAnsiTheme="minorHAnsi" w:cstheme="minorHAnsi"/>
        </w:rPr>
        <w:tab/>
      </w:r>
      <w:r w:rsidRPr="000F7A7D">
        <w:rPr>
          <w:rFonts w:asciiTheme="minorHAnsi" w:hAnsiTheme="minorHAnsi" w:cstheme="minorHAnsi"/>
        </w:rPr>
        <w:t>Effects of ketogenic diet on health utcomes: an umbrella review of meta-analyses of randomized clinical trials</w:t>
      </w:r>
    </w:p>
    <w:p w:rsidR="000F7A7D" w:rsidRDefault="000F7A7D" w:rsidP="000F7A7D">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r>
      <w:r w:rsidRPr="000F7A7D">
        <w:rPr>
          <w:rFonts w:asciiTheme="minorHAnsi" w:hAnsiTheme="minorHAnsi" w:cstheme="minorHAnsi"/>
        </w:rPr>
        <w:t>Patikorn</w:t>
      </w:r>
      <w:r>
        <w:rPr>
          <w:rFonts w:asciiTheme="minorHAnsi" w:hAnsiTheme="minorHAnsi" w:cstheme="minorHAnsi"/>
        </w:rPr>
        <w:t xml:space="preserve">, C. </w:t>
      </w:r>
    </w:p>
    <w:p w:rsidR="000F7A7D" w:rsidRDefault="000F7A7D" w:rsidP="000F7A7D">
      <w:pPr>
        <w:ind w:right="2542"/>
        <w:rPr>
          <w:rFonts w:asciiTheme="minorHAnsi" w:hAnsiTheme="minorHAnsi" w:cstheme="minorHAnsi"/>
        </w:rPr>
      </w:pPr>
      <w:bookmarkStart w:id="2" w:name="_GoBack"/>
      <w:bookmarkEnd w:id="2"/>
      <w:r w:rsidRPr="00776DFD">
        <w:rPr>
          <w:rFonts w:asciiTheme="minorHAnsi" w:hAnsiTheme="minorHAnsi" w:cstheme="minorHAnsi"/>
          <w:b/>
          <w:color w:val="FF6600"/>
        </w:rPr>
        <w:lastRenderedPageBreak/>
        <w:t>Journal:</w:t>
      </w:r>
      <w:r>
        <w:rPr>
          <w:rFonts w:asciiTheme="minorHAnsi" w:hAnsiTheme="minorHAnsi" w:cstheme="minorHAnsi"/>
          <w:b/>
          <w:color w:val="FF0000"/>
        </w:rPr>
        <w:tab/>
      </w:r>
      <w:r>
        <w:rPr>
          <w:rFonts w:asciiTheme="minorHAnsi" w:hAnsiTheme="minorHAnsi" w:cstheme="minorHAnsi"/>
        </w:rPr>
        <w:tab/>
      </w:r>
      <w:r>
        <w:rPr>
          <w:rFonts w:asciiTheme="minorHAnsi" w:hAnsiTheme="minorHAnsi" w:cstheme="minorHAnsi"/>
        </w:rPr>
        <w:t>BMC medicine</w:t>
      </w:r>
    </w:p>
    <w:p w:rsidR="000F7A7D" w:rsidRDefault="000F7A7D" w:rsidP="000F7A7D">
      <w:pPr>
        <w:ind w:right="-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6" w:history="1">
        <w:r w:rsidRPr="00B66EB3">
          <w:rPr>
            <w:rStyle w:val="Hyperlink"/>
            <w:rFonts w:asciiTheme="minorHAnsi" w:hAnsiTheme="minorHAnsi" w:cstheme="minorHAnsi"/>
          </w:rPr>
          <w:t>https://doi.org/10.1186/s12916-023-02874-y</w:t>
        </w:r>
      </w:hyperlink>
      <w:r>
        <w:rPr>
          <w:rFonts w:asciiTheme="minorHAnsi" w:hAnsiTheme="minorHAnsi" w:cstheme="minorHAnsi"/>
        </w:rPr>
        <w:t xml:space="preserve"> </w:t>
      </w:r>
    </w:p>
    <w:p w:rsidR="000F7A7D" w:rsidRPr="00776DFD" w:rsidRDefault="000F7A7D" w:rsidP="000F7A7D">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May 2023</w:t>
      </w:r>
      <w:r>
        <w:rPr>
          <w:rFonts w:asciiTheme="minorHAnsi" w:hAnsiTheme="minorHAnsi" w:cstheme="minorHAnsi"/>
        </w:rPr>
        <w:tab/>
      </w:r>
    </w:p>
    <w:p w:rsidR="000F7A7D" w:rsidRDefault="000F7A7D" w:rsidP="000F7A7D">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17" w:history="1">
        <w:r w:rsidRPr="000F7A7D">
          <w:rPr>
            <w:rStyle w:val="Hyperlink"/>
            <w:rFonts w:asciiTheme="minorHAnsi" w:hAnsiTheme="minorHAnsi" w:cstheme="minorHAnsi"/>
          </w:rPr>
          <w:t>Click here</w:t>
        </w:r>
      </w:hyperlink>
    </w:p>
    <w:p w:rsidR="000F7A7D" w:rsidRPr="000F7A7D" w:rsidRDefault="000F7A7D" w:rsidP="000F7A7D">
      <w:pPr>
        <w:ind w:left="2268" w:right="-7" w:hanging="2268"/>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0F7A7D">
        <w:rPr>
          <w:rFonts w:asciiTheme="minorHAnsi" w:hAnsiTheme="minorHAnsi" w:cstheme="minorHAnsi"/>
          <w:sz w:val="22"/>
          <w:szCs w:val="22"/>
        </w:rPr>
        <w:t xml:space="preserve">This umbrella review found </w:t>
      </w:r>
      <w:r w:rsidRPr="000F7A7D">
        <w:rPr>
          <w:rFonts w:asciiTheme="minorHAnsi" w:hAnsiTheme="minorHAnsi" w:cstheme="minorHAnsi"/>
          <w:sz w:val="22"/>
          <w:szCs w:val="22"/>
        </w:rPr>
        <w:t>beneficial</w:t>
      </w:r>
      <w:r w:rsidRPr="000F7A7D">
        <w:rPr>
          <w:rFonts w:asciiTheme="minorHAnsi" w:hAnsiTheme="minorHAnsi" w:cstheme="minorHAnsi"/>
          <w:sz w:val="22"/>
          <w:szCs w:val="22"/>
        </w:rPr>
        <w:t xml:space="preserve"> associations of KD supported by moderate to high-quality evidence on seizure and several cardiometabolic parameters. However, KD was associated with a clinically meaningful</w:t>
      </w:r>
      <w:r>
        <w:rPr>
          <w:rFonts w:asciiTheme="minorHAnsi" w:hAnsiTheme="minorHAnsi" w:cstheme="minorHAnsi"/>
          <w:sz w:val="22"/>
          <w:szCs w:val="22"/>
        </w:rPr>
        <w:t xml:space="preserve"> </w:t>
      </w:r>
      <w:r w:rsidRPr="000F7A7D">
        <w:rPr>
          <w:rFonts w:asciiTheme="minorHAnsi" w:hAnsiTheme="minorHAnsi" w:cstheme="minorHAnsi"/>
          <w:sz w:val="22"/>
          <w:szCs w:val="22"/>
        </w:rPr>
        <w:t>increase in LDL-C.</w:t>
      </w:r>
    </w:p>
    <w:p w:rsidR="000F7A7D" w:rsidRDefault="000F7A7D" w:rsidP="006459CA">
      <w:pPr>
        <w:ind w:left="2127" w:right="-7" w:hanging="2127"/>
        <w:rPr>
          <w:rFonts w:asciiTheme="minorHAnsi" w:hAnsiTheme="minorHAnsi" w:cstheme="minorHAnsi"/>
          <w:sz w:val="22"/>
          <w:szCs w:val="22"/>
        </w:rPr>
      </w:pPr>
    </w:p>
    <w:p w:rsidR="00F511C0" w:rsidRPr="002F50E1" w:rsidRDefault="00F511C0" w:rsidP="00F511C0">
      <w:pPr>
        <w:pStyle w:val="Heading1"/>
        <w:rPr>
          <w:b/>
          <w:color w:val="FF6600"/>
          <w:sz w:val="28"/>
          <w:szCs w:val="28"/>
        </w:rPr>
      </w:pPr>
      <w:bookmarkStart w:id="3" w:name="_Toc136609472"/>
      <w:r>
        <w:rPr>
          <w:b/>
          <w:color w:val="FF6600"/>
          <w:sz w:val="28"/>
          <w:szCs w:val="28"/>
        </w:rPr>
        <w:t>Emergency Department</w:t>
      </w:r>
      <w:bookmarkEnd w:id="3"/>
    </w:p>
    <w:p w:rsidR="00F511C0" w:rsidRDefault="00F511C0" w:rsidP="00F511C0">
      <w:pPr>
        <w:ind w:left="2268" w:right="-7" w:hanging="2268"/>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F511C0">
        <w:rPr>
          <w:rFonts w:asciiTheme="minorHAnsi" w:hAnsiTheme="minorHAnsi" w:cstheme="minorHAnsi"/>
        </w:rPr>
        <w:t>Effect of emergency physician-operated</w:t>
      </w:r>
      <w:r>
        <w:rPr>
          <w:rFonts w:asciiTheme="minorHAnsi" w:hAnsiTheme="minorHAnsi" w:cstheme="minorHAnsi"/>
        </w:rPr>
        <w:t xml:space="preserve"> </w:t>
      </w:r>
      <w:r w:rsidRPr="00F511C0">
        <w:rPr>
          <w:rFonts w:asciiTheme="minorHAnsi" w:hAnsiTheme="minorHAnsi" w:cstheme="minorHAnsi"/>
        </w:rPr>
        <w:t>emergency short-stay ward on emergency</w:t>
      </w:r>
      <w:r>
        <w:rPr>
          <w:rFonts w:asciiTheme="minorHAnsi" w:hAnsiTheme="minorHAnsi" w:cstheme="minorHAnsi"/>
        </w:rPr>
        <w:t xml:space="preserve"> </w:t>
      </w:r>
      <w:r w:rsidRPr="00F511C0">
        <w:rPr>
          <w:rFonts w:asciiTheme="minorHAnsi" w:hAnsiTheme="minorHAnsi" w:cstheme="minorHAnsi"/>
        </w:rPr>
        <w:t>department stay length and clinical outcomes:</w:t>
      </w:r>
      <w:r>
        <w:rPr>
          <w:rFonts w:asciiTheme="minorHAnsi" w:hAnsiTheme="minorHAnsi" w:cstheme="minorHAnsi"/>
        </w:rPr>
        <w:t xml:space="preserve"> </w:t>
      </w:r>
      <w:r w:rsidRPr="00F511C0">
        <w:rPr>
          <w:rFonts w:asciiTheme="minorHAnsi" w:hAnsiTheme="minorHAnsi" w:cstheme="minorHAnsi"/>
        </w:rPr>
        <w:t>a case-control study</w:t>
      </w:r>
    </w:p>
    <w:p w:rsidR="00F511C0" w:rsidRDefault="00F511C0" w:rsidP="00F511C0">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Moon, Sean</w:t>
      </w:r>
    </w:p>
    <w:p w:rsidR="00F511C0" w:rsidRDefault="00F511C0" w:rsidP="00F511C0">
      <w:pPr>
        <w:ind w:right="-7"/>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BMC emergency medicine</w:t>
      </w:r>
    </w:p>
    <w:p w:rsidR="00F511C0" w:rsidRDefault="00F511C0" w:rsidP="00F511C0">
      <w:pPr>
        <w:ind w:right="-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511C0">
        <w:rPr>
          <w:rFonts w:asciiTheme="minorHAnsi" w:hAnsiTheme="minorHAnsi" w:cstheme="minorHAnsi"/>
        </w:rPr>
        <w:t>https://doi.org/10.1186/s12873-023-00813-x</w:t>
      </w:r>
    </w:p>
    <w:p w:rsidR="00F511C0" w:rsidRPr="00776DFD" w:rsidRDefault="00F511C0" w:rsidP="00F511C0">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May 2023</w:t>
      </w:r>
    </w:p>
    <w:p w:rsidR="00F511C0" w:rsidRDefault="00F511C0" w:rsidP="00F511C0">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18" w:history="1">
        <w:r w:rsidRPr="00F511C0">
          <w:rPr>
            <w:rStyle w:val="Hyperlink"/>
            <w:rFonts w:asciiTheme="minorHAnsi" w:hAnsiTheme="minorHAnsi" w:cstheme="minorHAnsi"/>
          </w:rPr>
          <w:t>Click here</w:t>
        </w:r>
      </w:hyperlink>
    </w:p>
    <w:p w:rsidR="00F511C0" w:rsidRPr="006459CA" w:rsidRDefault="00F511C0" w:rsidP="00F511C0">
      <w:pPr>
        <w:ind w:left="2268" w:right="-7" w:hanging="2268"/>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F511C0">
        <w:rPr>
          <w:rFonts w:asciiTheme="minorHAnsi" w:hAnsiTheme="minorHAnsi" w:cstheme="minorHAnsi"/>
          <w:sz w:val="22"/>
          <w:szCs w:val="22"/>
        </w:rPr>
        <w:t>We hypothesized that an emergency short-stay ward (ESSW) mainly operated by emergency medicine</w:t>
      </w:r>
      <w:r>
        <w:rPr>
          <w:rFonts w:asciiTheme="minorHAnsi" w:hAnsiTheme="minorHAnsi" w:cstheme="minorHAnsi"/>
          <w:sz w:val="22"/>
          <w:szCs w:val="22"/>
        </w:rPr>
        <w:t xml:space="preserve"> </w:t>
      </w:r>
      <w:r w:rsidRPr="00F511C0">
        <w:rPr>
          <w:rFonts w:asciiTheme="minorHAnsi" w:hAnsiTheme="minorHAnsi" w:cstheme="minorHAnsi"/>
          <w:sz w:val="22"/>
          <w:szCs w:val="22"/>
        </w:rPr>
        <w:t>physicians may reduce the length of patient stay in emergency department without expense of clinical outcomes.</w:t>
      </w:r>
      <w:r>
        <w:rPr>
          <w:rFonts w:asciiTheme="minorHAnsi" w:hAnsiTheme="minorHAnsi" w:cstheme="minorHAnsi"/>
          <w:sz w:val="22"/>
          <w:szCs w:val="22"/>
        </w:rPr>
        <w:t xml:space="preserve"> </w:t>
      </w:r>
      <w:r w:rsidRPr="00F511C0">
        <w:rPr>
          <w:rFonts w:asciiTheme="minorHAnsi" w:hAnsiTheme="minorHAnsi" w:cstheme="minorHAnsi"/>
          <w:sz w:val="22"/>
          <w:szCs w:val="22"/>
        </w:rPr>
        <w:t>In conclusion, the ESSW-EM was independently associated with shorter ED length of stay compared</w:t>
      </w:r>
      <w:r>
        <w:rPr>
          <w:rFonts w:asciiTheme="minorHAnsi" w:hAnsiTheme="minorHAnsi" w:cstheme="minorHAnsi"/>
          <w:sz w:val="22"/>
          <w:szCs w:val="22"/>
        </w:rPr>
        <w:t xml:space="preserve"> </w:t>
      </w:r>
      <w:r w:rsidRPr="00F511C0">
        <w:rPr>
          <w:rFonts w:asciiTheme="minorHAnsi" w:hAnsiTheme="minorHAnsi" w:cstheme="minorHAnsi"/>
          <w:sz w:val="22"/>
          <w:szCs w:val="22"/>
        </w:rPr>
        <w:t>with both the ESSW-Other and the GW in the adult ED patients. Independent association was found between the</w:t>
      </w:r>
      <w:r>
        <w:rPr>
          <w:rFonts w:asciiTheme="minorHAnsi" w:hAnsiTheme="minorHAnsi" w:cstheme="minorHAnsi"/>
          <w:sz w:val="22"/>
          <w:szCs w:val="22"/>
        </w:rPr>
        <w:t xml:space="preserve"> </w:t>
      </w:r>
      <w:r w:rsidRPr="00F511C0">
        <w:rPr>
          <w:rFonts w:asciiTheme="minorHAnsi" w:hAnsiTheme="minorHAnsi" w:cstheme="minorHAnsi"/>
          <w:sz w:val="22"/>
          <w:szCs w:val="22"/>
        </w:rPr>
        <w:t xml:space="preserve">ESSW-EM and lower hospital mortality compared with the </w:t>
      </w:r>
      <w:r>
        <w:rPr>
          <w:rFonts w:asciiTheme="minorHAnsi" w:hAnsiTheme="minorHAnsi" w:cstheme="minorHAnsi"/>
          <w:sz w:val="22"/>
          <w:szCs w:val="22"/>
        </w:rPr>
        <w:t>general wards</w:t>
      </w:r>
      <w:r w:rsidRPr="00F511C0">
        <w:rPr>
          <w:rFonts w:asciiTheme="minorHAnsi" w:hAnsiTheme="minorHAnsi" w:cstheme="minorHAnsi"/>
          <w:sz w:val="22"/>
          <w:szCs w:val="22"/>
        </w:rPr>
        <w:t>.</w:t>
      </w:r>
    </w:p>
    <w:p w:rsidR="002C56CD" w:rsidRDefault="002C56CD" w:rsidP="002F50E1">
      <w:pPr>
        <w:ind w:right="2542"/>
        <w:rPr>
          <w:rFonts w:asciiTheme="minorHAnsi" w:hAnsiTheme="minorHAnsi" w:cstheme="minorHAnsi"/>
        </w:rPr>
      </w:pPr>
    </w:p>
    <w:p w:rsidR="00EA3FFA" w:rsidRPr="002F50E1" w:rsidRDefault="00EA3FFA" w:rsidP="00EA3FFA">
      <w:pPr>
        <w:pStyle w:val="Heading1"/>
        <w:rPr>
          <w:b/>
          <w:color w:val="FF6600"/>
          <w:sz w:val="28"/>
          <w:szCs w:val="28"/>
        </w:rPr>
      </w:pPr>
      <w:bookmarkStart w:id="4" w:name="_Toc136609473"/>
      <w:r>
        <w:rPr>
          <w:b/>
          <w:color w:val="FF6600"/>
          <w:sz w:val="28"/>
          <w:szCs w:val="28"/>
        </w:rPr>
        <w:t>Maori</w:t>
      </w:r>
      <w:bookmarkEnd w:id="4"/>
    </w:p>
    <w:p w:rsidR="00EA3FFA" w:rsidRDefault="00EA3FFA" w:rsidP="00EA3FFA">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EA3FFA">
        <w:rPr>
          <w:rFonts w:asciiTheme="minorHAnsi" w:hAnsiTheme="minorHAnsi" w:cstheme="minorHAnsi"/>
        </w:rPr>
        <w:t>Indigenous adaptation of a model for</w:t>
      </w:r>
      <w:r>
        <w:rPr>
          <w:rFonts w:asciiTheme="minorHAnsi" w:hAnsiTheme="minorHAnsi" w:cstheme="minorHAnsi"/>
        </w:rPr>
        <w:t xml:space="preserve"> </w:t>
      </w:r>
      <w:r w:rsidRPr="00EA3FFA">
        <w:rPr>
          <w:rFonts w:asciiTheme="minorHAnsi" w:hAnsiTheme="minorHAnsi" w:cstheme="minorHAnsi"/>
        </w:rPr>
        <w:t>understanding the determinants of ethnic</w:t>
      </w:r>
      <w:r>
        <w:rPr>
          <w:rFonts w:asciiTheme="minorHAnsi" w:hAnsiTheme="minorHAnsi" w:cstheme="minorHAnsi"/>
        </w:rPr>
        <w:t xml:space="preserve"> </w:t>
      </w:r>
      <w:r w:rsidRPr="00EA3FFA">
        <w:rPr>
          <w:rFonts w:asciiTheme="minorHAnsi" w:hAnsiTheme="minorHAnsi" w:cstheme="minorHAnsi"/>
        </w:rPr>
        <w:t>health inequities</w:t>
      </w:r>
    </w:p>
    <w:p w:rsidR="00EA3FFA" w:rsidRDefault="00EA3FFA" w:rsidP="00EA3FFA">
      <w:pPr>
        <w:ind w:right="-7"/>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Curtis, E.</w:t>
      </w:r>
    </w:p>
    <w:p w:rsidR="00EA3FFA" w:rsidRDefault="00EA3FFA" w:rsidP="00EA3FFA">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r>
      <w:r w:rsidRPr="00EA3FFA">
        <w:rPr>
          <w:rFonts w:asciiTheme="minorHAnsi" w:hAnsiTheme="minorHAnsi" w:cstheme="minorHAnsi"/>
        </w:rPr>
        <w:t>Discover Social Science and Health</w:t>
      </w:r>
    </w:p>
    <w:p w:rsidR="00EA3FFA" w:rsidRDefault="00EA3FFA" w:rsidP="00EA3FFA">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9" w:tgtFrame="_blank" w:history="1">
        <w:r>
          <w:rPr>
            <w:rStyle w:val="Hyperlink"/>
            <w:rFonts w:ascii="Helvetica" w:hAnsi="Helvetica" w:cs="Helvetica"/>
            <w:color w:val="595959"/>
            <w:sz w:val="18"/>
            <w:szCs w:val="18"/>
            <w:shd w:val="clear" w:color="auto" w:fill="FFFFFF"/>
          </w:rPr>
          <w:t>10.1007/s44155-023-00040-6</w:t>
        </w:r>
      </w:hyperlink>
    </w:p>
    <w:p w:rsidR="00EA3FFA" w:rsidRPr="00776DFD" w:rsidRDefault="00EA3FFA" w:rsidP="00EA3FFA">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May 2023</w:t>
      </w:r>
    </w:p>
    <w:p w:rsidR="00EA3FFA" w:rsidRDefault="00EA3FFA" w:rsidP="00EA3FFA">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0" w:history="1">
        <w:r w:rsidRPr="00EA3FFA">
          <w:rPr>
            <w:rStyle w:val="Hyperlink"/>
            <w:rFonts w:asciiTheme="minorHAnsi" w:hAnsiTheme="minorHAnsi" w:cstheme="minorHAnsi"/>
          </w:rPr>
          <w:t>Click here</w:t>
        </w:r>
      </w:hyperlink>
    </w:p>
    <w:p w:rsidR="00EA3FFA" w:rsidRPr="00CB3FC2" w:rsidRDefault="00EA3FFA" w:rsidP="00EA3FFA">
      <w:pPr>
        <w:ind w:left="2268" w:right="-7" w:hanging="2268"/>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EA3FFA">
        <w:rPr>
          <w:rFonts w:asciiTheme="minorHAnsi" w:hAnsiTheme="minorHAnsi" w:cstheme="minorHAnsi"/>
          <w:sz w:val="22"/>
          <w:szCs w:val="22"/>
        </w:rPr>
        <w:t>An Indigenous adaptation of the ‘Williams model’, known as the Te Kupenga</w:t>
      </w:r>
      <w:r>
        <w:rPr>
          <w:rFonts w:asciiTheme="minorHAnsi" w:hAnsiTheme="minorHAnsi" w:cstheme="minorHAnsi"/>
          <w:sz w:val="22"/>
          <w:szCs w:val="22"/>
        </w:rPr>
        <w:t xml:space="preserve"> </w:t>
      </w:r>
      <w:r w:rsidRPr="00EA3FFA">
        <w:rPr>
          <w:rFonts w:asciiTheme="minorHAnsi" w:hAnsiTheme="minorHAnsi" w:cstheme="minorHAnsi"/>
          <w:sz w:val="22"/>
          <w:szCs w:val="22"/>
        </w:rPr>
        <w:t>Hauora Māori modified model, has been developed to understand the causes of racial/ethnic disparities in health.</w:t>
      </w:r>
      <w:r>
        <w:rPr>
          <w:rFonts w:asciiTheme="minorHAnsi" w:hAnsiTheme="minorHAnsi" w:cstheme="minorHAnsi"/>
          <w:sz w:val="22"/>
          <w:szCs w:val="22"/>
        </w:rPr>
        <w:t xml:space="preserve"> </w:t>
      </w:r>
      <w:r w:rsidRPr="00EA3FFA">
        <w:rPr>
          <w:rFonts w:asciiTheme="minorHAnsi" w:hAnsiTheme="minorHAnsi" w:cstheme="minorHAnsi"/>
          <w:sz w:val="22"/>
          <w:szCs w:val="22"/>
        </w:rPr>
        <w:t>The model creators provide a critique of its</w:t>
      </w:r>
      <w:r>
        <w:rPr>
          <w:rFonts w:asciiTheme="minorHAnsi" w:hAnsiTheme="minorHAnsi" w:cstheme="minorHAnsi"/>
          <w:sz w:val="22"/>
          <w:szCs w:val="22"/>
        </w:rPr>
        <w:t xml:space="preserve"> </w:t>
      </w:r>
      <w:r w:rsidRPr="00EA3FFA">
        <w:rPr>
          <w:rFonts w:asciiTheme="minorHAnsi" w:hAnsiTheme="minorHAnsi" w:cstheme="minorHAnsi"/>
          <w:sz w:val="22"/>
          <w:szCs w:val="22"/>
        </w:rPr>
        <w:t>limitations, and indicate areas for further strengthening.</w:t>
      </w:r>
    </w:p>
    <w:p w:rsidR="00054FC4" w:rsidRDefault="00054FC4" w:rsidP="002F50E1">
      <w:pPr>
        <w:ind w:right="2542"/>
        <w:rPr>
          <w:rFonts w:asciiTheme="minorHAnsi" w:hAnsiTheme="minorHAnsi" w:cstheme="minorHAnsi"/>
        </w:rPr>
      </w:pPr>
    </w:p>
    <w:p w:rsidR="00E835A1" w:rsidRPr="002F50E1" w:rsidRDefault="00E835A1" w:rsidP="00E835A1">
      <w:pPr>
        <w:pStyle w:val="Heading1"/>
        <w:rPr>
          <w:b/>
          <w:color w:val="FF6600"/>
          <w:sz w:val="28"/>
          <w:szCs w:val="28"/>
        </w:rPr>
      </w:pPr>
      <w:bookmarkStart w:id="5" w:name="_Toc136609474"/>
      <w:r>
        <w:rPr>
          <w:b/>
          <w:color w:val="FF6600"/>
          <w:sz w:val="28"/>
          <w:szCs w:val="28"/>
        </w:rPr>
        <w:lastRenderedPageBreak/>
        <w:t>Maori mental health</w:t>
      </w:r>
      <w:bookmarkEnd w:id="5"/>
    </w:p>
    <w:p w:rsidR="00E835A1" w:rsidRDefault="00E835A1" w:rsidP="00E835A1">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E835A1">
        <w:rPr>
          <w:rFonts w:asciiTheme="minorHAnsi" w:hAnsiTheme="minorHAnsi" w:cstheme="minorHAnsi"/>
        </w:rPr>
        <w:t>Evolution of first episode</w:t>
      </w:r>
      <w:r>
        <w:rPr>
          <w:rFonts w:asciiTheme="minorHAnsi" w:hAnsiTheme="minorHAnsi" w:cstheme="minorHAnsi"/>
        </w:rPr>
        <w:t xml:space="preserve"> </w:t>
      </w:r>
      <w:r w:rsidRPr="00E835A1">
        <w:rPr>
          <w:rFonts w:asciiTheme="minorHAnsi" w:hAnsiTheme="minorHAnsi" w:cstheme="minorHAnsi"/>
        </w:rPr>
        <w:t>psychosis diagnoses and</w:t>
      </w:r>
      <w:r>
        <w:rPr>
          <w:rFonts w:asciiTheme="minorHAnsi" w:hAnsiTheme="minorHAnsi" w:cstheme="minorHAnsi"/>
        </w:rPr>
        <w:t xml:space="preserve"> </w:t>
      </w:r>
      <w:r w:rsidRPr="00E835A1">
        <w:rPr>
          <w:rFonts w:asciiTheme="minorHAnsi" w:hAnsiTheme="minorHAnsi" w:cstheme="minorHAnsi"/>
        </w:rPr>
        <w:t>health service</w:t>
      </w:r>
      <w:r>
        <w:rPr>
          <w:rFonts w:asciiTheme="minorHAnsi" w:hAnsiTheme="minorHAnsi" w:cstheme="minorHAnsi"/>
        </w:rPr>
        <w:t xml:space="preserve"> </w:t>
      </w:r>
      <w:r w:rsidRPr="00E835A1">
        <w:rPr>
          <w:rFonts w:asciiTheme="minorHAnsi" w:hAnsiTheme="minorHAnsi" w:cstheme="minorHAnsi"/>
        </w:rPr>
        <w:t>use among</w:t>
      </w:r>
      <w:r>
        <w:rPr>
          <w:rFonts w:asciiTheme="minorHAnsi" w:hAnsiTheme="minorHAnsi" w:cstheme="minorHAnsi"/>
        </w:rPr>
        <w:t xml:space="preserve"> </w:t>
      </w:r>
      <w:r w:rsidRPr="00E835A1">
        <w:rPr>
          <w:rFonts w:asciiTheme="minorHAnsi" w:hAnsiTheme="minorHAnsi" w:cstheme="minorHAnsi"/>
        </w:rPr>
        <w:t>young Māori and non-Māori</w:t>
      </w:r>
    </w:p>
    <w:p w:rsidR="00E835A1" w:rsidRDefault="00E835A1" w:rsidP="00E835A1">
      <w:pPr>
        <w:ind w:left="2127" w:right="-7" w:hanging="2127"/>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t>Carr, G</w:t>
      </w:r>
    </w:p>
    <w:p w:rsidR="00E835A1" w:rsidRDefault="00E835A1" w:rsidP="00E835A1">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Early intervention in psychiatry</w:t>
      </w:r>
    </w:p>
    <w:p w:rsidR="00E835A1" w:rsidRDefault="00E835A1" w:rsidP="00E835A1">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21" w:tgtFrame="_blank" w:history="1">
        <w:r>
          <w:rPr>
            <w:rStyle w:val="Hyperlink"/>
            <w:rFonts w:ascii="Helvetica" w:hAnsi="Helvetica" w:cs="Helvetica"/>
            <w:color w:val="595959"/>
            <w:sz w:val="18"/>
            <w:szCs w:val="18"/>
            <w:shd w:val="clear" w:color="auto" w:fill="FFFFFF"/>
          </w:rPr>
          <w:t>10.1111/eip.13327</w:t>
        </w:r>
      </w:hyperlink>
    </w:p>
    <w:p w:rsidR="00E835A1" w:rsidRPr="00776DFD" w:rsidRDefault="00E835A1" w:rsidP="00E835A1">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March 2023</w:t>
      </w:r>
    </w:p>
    <w:p w:rsidR="00E835A1" w:rsidRDefault="00E835A1" w:rsidP="00E835A1">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2" w:history="1">
        <w:r w:rsidRPr="00E835A1">
          <w:rPr>
            <w:rStyle w:val="Hyperlink"/>
            <w:rFonts w:asciiTheme="minorHAnsi" w:hAnsiTheme="minorHAnsi" w:cstheme="minorHAnsi"/>
          </w:rPr>
          <w:t>Click here</w:t>
        </w:r>
      </w:hyperlink>
    </w:p>
    <w:p w:rsidR="00E835A1" w:rsidRDefault="00E835A1" w:rsidP="00EA3FFA">
      <w:pPr>
        <w:ind w:left="2127" w:right="-7" w:hanging="2127"/>
        <w:rPr>
          <w:rFonts w:asciiTheme="minorHAnsi" w:hAnsiTheme="minorHAnsi" w:cstheme="minorHAnsi"/>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sidRPr="00E835A1">
        <w:rPr>
          <w:rFonts w:asciiTheme="minorHAnsi" w:hAnsiTheme="minorHAnsi" w:cstheme="minorHAnsi"/>
          <w:sz w:val="22"/>
          <w:szCs w:val="22"/>
        </w:rPr>
        <w:t>Māori and non-Māori receive different</w:t>
      </w:r>
      <w:r>
        <w:rPr>
          <w:rFonts w:asciiTheme="minorHAnsi" w:hAnsiTheme="minorHAnsi" w:cstheme="minorHAnsi"/>
          <w:sz w:val="22"/>
          <w:szCs w:val="22"/>
        </w:rPr>
        <w:t xml:space="preserve"> </w:t>
      </w:r>
      <w:r w:rsidRPr="00E835A1">
        <w:rPr>
          <w:rFonts w:asciiTheme="minorHAnsi" w:hAnsiTheme="minorHAnsi" w:cstheme="minorHAnsi"/>
          <w:sz w:val="22"/>
          <w:szCs w:val="22"/>
        </w:rPr>
        <w:t>mental health diagnoses, according to a national cohort</w:t>
      </w:r>
      <w:r>
        <w:rPr>
          <w:rFonts w:asciiTheme="minorHAnsi" w:hAnsiTheme="minorHAnsi" w:cstheme="minorHAnsi"/>
          <w:sz w:val="22"/>
          <w:szCs w:val="22"/>
        </w:rPr>
        <w:t xml:space="preserve"> </w:t>
      </w:r>
      <w:r w:rsidRPr="00E835A1">
        <w:rPr>
          <w:rFonts w:asciiTheme="minorHAnsi" w:hAnsiTheme="minorHAnsi" w:cstheme="minorHAnsi"/>
          <w:sz w:val="22"/>
          <w:szCs w:val="22"/>
        </w:rPr>
        <w:t>study of youth with first episode psychosis occurring</w:t>
      </w:r>
      <w:r>
        <w:rPr>
          <w:rFonts w:asciiTheme="minorHAnsi" w:hAnsiTheme="minorHAnsi" w:cstheme="minorHAnsi"/>
          <w:sz w:val="22"/>
          <w:szCs w:val="22"/>
        </w:rPr>
        <w:t xml:space="preserve"> </w:t>
      </w:r>
      <w:r w:rsidRPr="00E835A1">
        <w:rPr>
          <w:rFonts w:asciiTheme="minorHAnsi" w:hAnsiTheme="minorHAnsi" w:cstheme="minorHAnsi"/>
          <w:sz w:val="22"/>
          <w:szCs w:val="22"/>
        </w:rPr>
        <w:t>between</w:t>
      </w:r>
      <w:r w:rsidR="00EA3FFA">
        <w:rPr>
          <w:rFonts w:asciiTheme="minorHAnsi" w:hAnsiTheme="minorHAnsi" w:cstheme="minorHAnsi"/>
          <w:sz w:val="22"/>
          <w:szCs w:val="22"/>
        </w:rPr>
        <w:t xml:space="preserve"> </w:t>
      </w:r>
      <w:r w:rsidRPr="00E835A1">
        <w:rPr>
          <w:rFonts w:asciiTheme="minorHAnsi" w:hAnsiTheme="minorHAnsi" w:cstheme="minorHAnsi"/>
          <w:sz w:val="22"/>
          <w:szCs w:val="22"/>
        </w:rPr>
        <w:t>2009 and 2012.</w:t>
      </w:r>
      <w:r w:rsidR="00EA3FFA">
        <w:rPr>
          <w:rFonts w:asciiTheme="minorHAnsi" w:hAnsiTheme="minorHAnsi" w:cstheme="minorHAnsi"/>
          <w:sz w:val="22"/>
          <w:szCs w:val="22"/>
        </w:rPr>
        <w:t xml:space="preserve"> </w:t>
      </w:r>
      <w:r w:rsidR="00EA3FFA" w:rsidRPr="00EA3FFA">
        <w:rPr>
          <w:rFonts w:asciiTheme="minorHAnsi" w:hAnsiTheme="minorHAnsi" w:cstheme="minorHAnsi"/>
          <w:sz w:val="22"/>
          <w:szCs w:val="22"/>
        </w:rPr>
        <w:t>Ethnic differences in schizophrenia</w:t>
      </w:r>
      <w:r w:rsidR="00EA3FFA">
        <w:rPr>
          <w:rFonts w:asciiTheme="minorHAnsi" w:hAnsiTheme="minorHAnsi" w:cstheme="minorHAnsi"/>
          <w:sz w:val="22"/>
          <w:szCs w:val="22"/>
        </w:rPr>
        <w:t xml:space="preserve"> </w:t>
      </w:r>
      <w:r w:rsidR="00EA3FFA" w:rsidRPr="00EA3FFA">
        <w:rPr>
          <w:rFonts w:asciiTheme="minorHAnsi" w:hAnsiTheme="minorHAnsi" w:cstheme="minorHAnsi"/>
          <w:sz w:val="22"/>
          <w:szCs w:val="22"/>
        </w:rPr>
        <w:t>and affective psychosis diagnoses could be related to</w:t>
      </w:r>
      <w:r w:rsidR="00EA3FFA">
        <w:rPr>
          <w:rFonts w:asciiTheme="minorHAnsi" w:hAnsiTheme="minorHAnsi" w:cstheme="minorHAnsi"/>
          <w:sz w:val="22"/>
          <w:szCs w:val="22"/>
        </w:rPr>
        <w:t xml:space="preserve">  </w:t>
      </w:r>
      <w:r w:rsidR="00EA3FFA" w:rsidRPr="00EA3FFA">
        <w:rPr>
          <w:rFonts w:asciiTheme="minorHAnsi" w:hAnsiTheme="minorHAnsi" w:cstheme="minorHAnsi"/>
          <w:sz w:val="22"/>
          <w:szCs w:val="22"/>
        </w:rPr>
        <w:t>differential exposure to socio-environmental risk or</w:t>
      </w:r>
      <w:r w:rsidR="00EA3FFA">
        <w:rPr>
          <w:rFonts w:asciiTheme="minorHAnsi" w:hAnsiTheme="minorHAnsi" w:cstheme="minorHAnsi"/>
          <w:sz w:val="22"/>
          <w:szCs w:val="22"/>
        </w:rPr>
        <w:t xml:space="preserve"> </w:t>
      </w:r>
      <w:r w:rsidR="00EA3FFA" w:rsidRPr="00EA3FFA">
        <w:rPr>
          <w:rFonts w:asciiTheme="minorHAnsi" w:hAnsiTheme="minorHAnsi" w:cstheme="minorHAnsi"/>
          <w:sz w:val="22"/>
          <w:szCs w:val="22"/>
        </w:rPr>
        <w:t>assessor bias, the study authors speculated.</w:t>
      </w:r>
    </w:p>
    <w:p w:rsidR="00E835A1" w:rsidRDefault="00E835A1" w:rsidP="002F50E1">
      <w:pPr>
        <w:ind w:right="2542"/>
        <w:rPr>
          <w:rFonts w:asciiTheme="minorHAnsi" w:hAnsiTheme="minorHAnsi" w:cstheme="minorHAnsi"/>
        </w:rPr>
      </w:pPr>
    </w:p>
    <w:p w:rsidR="000D6803" w:rsidRPr="002F50E1" w:rsidRDefault="000D6803" w:rsidP="000D6803">
      <w:pPr>
        <w:pStyle w:val="Heading1"/>
        <w:rPr>
          <w:b/>
          <w:color w:val="FF6600"/>
          <w:sz w:val="28"/>
          <w:szCs w:val="28"/>
        </w:rPr>
      </w:pPr>
      <w:bookmarkStart w:id="6" w:name="_Toc136609475"/>
      <w:r>
        <w:rPr>
          <w:b/>
          <w:color w:val="FF6600"/>
          <w:sz w:val="28"/>
          <w:szCs w:val="28"/>
        </w:rPr>
        <w:t>Sleep</w:t>
      </w:r>
      <w:bookmarkEnd w:id="6"/>
    </w:p>
    <w:p w:rsidR="000D6803" w:rsidRDefault="000D6803" w:rsidP="000D6803">
      <w:pPr>
        <w:ind w:left="2268" w:right="-7" w:hanging="2268"/>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0D6803">
        <w:rPr>
          <w:rFonts w:asciiTheme="minorHAnsi" w:hAnsiTheme="minorHAnsi" w:cstheme="minorHAnsi"/>
        </w:rPr>
        <w:t>Association between sleep problems</w:t>
      </w:r>
      <w:r>
        <w:rPr>
          <w:rFonts w:asciiTheme="minorHAnsi" w:hAnsiTheme="minorHAnsi" w:cstheme="minorHAnsi"/>
        </w:rPr>
        <w:t xml:space="preserve"> </w:t>
      </w:r>
      <w:r w:rsidRPr="000D6803">
        <w:rPr>
          <w:rFonts w:asciiTheme="minorHAnsi" w:hAnsiTheme="minorHAnsi" w:cstheme="minorHAnsi"/>
        </w:rPr>
        <w:t>and multimorbidity patterns in older adults</w:t>
      </w:r>
    </w:p>
    <w:p w:rsidR="000D6803" w:rsidRDefault="000D6803" w:rsidP="000D6803">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Idalino, S.C.C.</w:t>
      </w:r>
    </w:p>
    <w:p w:rsidR="000D6803" w:rsidRDefault="000D6803" w:rsidP="000D6803">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BMC public health</w:t>
      </w:r>
    </w:p>
    <w:p w:rsidR="000D6803" w:rsidRDefault="000D6803" w:rsidP="000D6803">
      <w:pPr>
        <w:ind w:right="-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23" w:history="1">
        <w:r w:rsidRPr="009A6B62">
          <w:rPr>
            <w:rStyle w:val="Hyperlink"/>
            <w:rFonts w:asciiTheme="minorHAnsi" w:hAnsiTheme="minorHAnsi" w:cstheme="minorHAnsi"/>
          </w:rPr>
          <w:t>https://doi.org/10.1186/s12889-023- 15965-5</w:t>
        </w:r>
      </w:hyperlink>
      <w:r>
        <w:rPr>
          <w:rFonts w:asciiTheme="minorHAnsi" w:hAnsiTheme="minorHAnsi" w:cstheme="minorHAnsi"/>
        </w:rPr>
        <w:t xml:space="preserve"> </w:t>
      </w:r>
    </w:p>
    <w:p w:rsidR="000D6803" w:rsidRPr="00776DFD" w:rsidRDefault="000D6803" w:rsidP="000D6803">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2023</w:t>
      </w:r>
    </w:p>
    <w:p w:rsidR="000D6803" w:rsidRDefault="000D6803" w:rsidP="000D6803">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4" w:history="1">
        <w:r w:rsidRPr="000D6803">
          <w:rPr>
            <w:rStyle w:val="Hyperlink"/>
            <w:rFonts w:asciiTheme="minorHAnsi" w:hAnsiTheme="minorHAnsi" w:cstheme="minorHAnsi"/>
          </w:rPr>
          <w:t>Click here</w:t>
        </w:r>
      </w:hyperlink>
    </w:p>
    <w:p w:rsidR="000D6803" w:rsidRDefault="000D6803" w:rsidP="000D6803">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Pr>
          <w:rFonts w:asciiTheme="minorHAnsi" w:hAnsiTheme="minorHAnsi" w:cstheme="minorHAnsi"/>
          <w:sz w:val="22"/>
          <w:szCs w:val="22"/>
        </w:rPr>
        <w:t>R</w:t>
      </w:r>
      <w:r w:rsidRPr="000D6803">
        <w:rPr>
          <w:rFonts w:asciiTheme="minorHAnsi" w:hAnsiTheme="minorHAnsi" w:cstheme="minorHAnsi"/>
          <w:sz w:val="22"/>
          <w:szCs w:val="22"/>
        </w:rPr>
        <w:t>esults suggest that public health programs aimed at preventing sleep problems in older adults</w:t>
      </w:r>
      <w:r>
        <w:rPr>
          <w:rFonts w:asciiTheme="minorHAnsi" w:hAnsiTheme="minorHAnsi" w:cstheme="minorHAnsi"/>
          <w:sz w:val="22"/>
          <w:szCs w:val="22"/>
        </w:rPr>
        <w:t xml:space="preserve"> </w:t>
      </w:r>
      <w:r w:rsidRPr="000D6803">
        <w:rPr>
          <w:rFonts w:asciiTheme="minorHAnsi" w:hAnsiTheme="minorHAnsi" w:cstheme="minorHAnsi"/>
          <w:sz w:val="22"/>
          <w:szCs w:val="22"/>
        </w:rPr>
        <w:t>are essential to reduce possible adverse health outcomes, including multimorbidity patterns and their negative</w:t>
      </w:r>
      <w:r>
        <w:rPr>
          <w:rFonts w:asciiTheme="minorHAnsi" w:hAnsiTheme="minorHAnsi" w:cstheme="minorHAnsi"/>
          <w:sz w:val="22"/>
          <w:szCs w:val="22"/>
        </w:rPr>
        <w:t xml:space="preserve"> </w:t>
      </w:r>
      <w:r w:rsidRPr="000D6803">
        <w:rPr>
          <w:rFonts w:asciiTheme="minorHAnsi" w:hAnsiTheme="minorHAnsi" w:cstheme="minorHAnsi"/>
          <w:sz w:val="22"/>
          <w:szCs w:val="22"/>
        </w:rPr>
        <w:t>consequences for older adults’ health.</w:t>
      </w:r>
    </w:p>
    <w:p w:rsidR="00610E7C" w:rsidRDefault="00610E7C" w:rsidP="000D6803">
      <w:pPr>
        <w:ind w:left="2127" w:right="-7" w:hanging="2127"/>
        <w:rPr>
          <w:rFonts w:asciiTheme="minorHAnsi" w:hAnsiTheme="minorHAnsi" w:cstheme="minorHAnsi"/>
          <w:sz w:val="22"/>
          <w:szCs w:val="22"/>
        </w:rPr>
      </w:pPr>
    </w:p>
    <w:p w:rsidR="00610E7C" w:rsidRDefault="00610E7C" w:rsidP="000D6803">
      <w:pPr>
        <w:ind w:left="2127" w:right="-7" w:hanging="2127"/>
        <w:rPr>
          <w:rFonts w:asciiTheme="minorHAnsi" w:hAnsiTheme="minorHAnsi" w:cstheme="minorHAnsi"/>
          <w:sz w:val="22"/>
          <w:szCs w:val="22"/>
        </w:rPr>
      </w:pPr>
    </w:p>
    <w:p w:rsidR="00610E7C" w:rsidRDefault="00610E7C" w:rsidP="00610E7C">
      <w:pPr>
        <w:pStyle w:val="Heading1"/>
        <w:rPr>
          <w:b/>
          <w:color w:val="FF6600"/>
          <w:sz w:val="28"/>
          <w:szCs w:val="28"/>
        </w:rPr>
      </w:pPr>
    </w:p>
    <w:p w:rsidR="00610E7C" w:rsidRPr="002F50E1" w:rsidRDefault="00610E7C" w:rsidP="00610E7C">
      <w:pPr>
        <w:pStyle w:val="Heading1"/>
        <w:rPr>
          <w:b/>
          <w:color w:val="FF6600"/>
          <w:sz w:val="28"/>
          <w:szCs w:val="28"/>
        </w:rPr>
      </w:pPr>
      <w:bookmarkStart w:id="7" w:name="_Toc136609476"/>
      <w:r>
        <w:rPr>
          <w:b/>
          <w:color w:val="FF6600"/>
          <w:sz w:val="28"/>
          <w:szCs w:val="28"/>
        </w:rPr>
        <w:t>Transgender</w:t>
      </w:r>
      <w:bookmarkEnd w:id="7"/>
    </w:p>
    <w:p w:rsidR="00610E7C" w:rsidRDefault="00610E7C" w:rsidP="00F86573">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610E7C">
        <w:rPr>
          <w:rFonts w:asciiTheme="minorHAnsi" w:hAnsiTheme="minorHAnsi" w:cstheme="minorHAnsi"/>
        </w:rPr>
        <w:t>The significance of structural stigma</w:t>
      </w:r>
      <w:r>
        <w:rPr>
          <w:rFonts w:asciiTheme="minorHAnsi" w:hAnsiTheme="minorHAnsi" w:cstheme="minorHAnsi"/>
        </w:rPr>
        <w:t xml:space="preserve"> </w:t>
      </w:r>
      <w:r w:rsidRPr="00610E7C">
        <w:rPr>
          <w:rFonts w:asciiTheme="minorHAnsi" w:hAnsiTheme="minorHAnsi" w:cstheme="minorHAnsi"/>
        </w:rPr>
        <w:t>towards transgender people in health care</w:t>
      </w:r>
      <w:r>
        <w:rPr>
          <w:rFonts w:asciiTheme="minorHAnsi" w:hAnsiTheme="minorHAnsi" w:cstheme="minorHAnsi"/>
        </w:rPr>
        <w:t xml:space="preserve"> </w:t>
      </w:r>
      <w:r w:rsidRPr="00610E7C">
        <w:rPr>
          <w:rFonts w:asciiTheme="minorHAnsi" w:hAnsiTheme="minorHAnsi" w:cstheme="minorHAnsi"/>
        </w:rPr>
        <w:t>encounters across Europe: Health care access,</w:t>
      </w:r>
      <w:r>
        <w:rPr>
          <w:rFonts w:asciiTheme="minorHAnsi" w:hAnsiTheme="minorHAnsi" w:cstheme="minorHAnsi"/>
        </w:rPr>
        <w:t xml:space="preserve"> </w:t>
      </w:r>
      <w:r w:rsidRPr="00610E7C">
        <w:rPr>
          <w:rFonts w:asciiTheme="minorHAnsi" w:hAnsiTheme="minorHAnsi" w:cstheme="minorHAnsi"/>
        </w:rPr>
        <w:t>gender identity disclosure,</w:t>
      </w:r>
      <w:r>
        <w:rPr>
          <w:rFonts w:asciiTheme="minorHAnsi" w:hAnsiTheme="minorHAnsi" w:cstheme="minorHAnsi"/>
        </w:rPr>
        <w:t xml:space="preserve"> </w:t>
      </w:r>
      <w:r w:rsidRPr="00610E7C">
        <w:rPr>
          <w:rFonts w:asciiTheme="minorHAnsi" w:hAnsiTheme="minorHAnsi" w:cstheme="minorHAnsi"/>
        </w:rPr>
        <w:t>and discrimination</w:t>
      </w:r>
      <w:r>
        <w:rPr>
          <w:rFonts w:asciiTheme="minorHAnsi" w:hAnsiTheme="minorHAnsi" w:cstheme="minorHAnsi"/>
        </w:rPr>
        <w:t xml:space="preserve"> </w:t>
      </w:r>
      <w:r w:rsidRPr="00610E7C">
        <w:rPr>
          <w:rFonts w:asciiTheme="minorHAnsi" w:hAnsiTheme="minorHAnsi" w:cstheme="minorHAnsi"/>
        </w:rPr>
        <w:t>in health care as a function of national</w:t>
      </w:r>
      <w:r>
        <w:rPr>
          <w:rFonts w:asciiTheme="minorHAnsi" w:hAnsiTheme="minorHAnsi" w:cstheme="minorHAnsi"/>
        </w:rPr>
        <w:t xml:space="preserve"> </w:t>
      </w:r>
      <w:r w:rsidRPr="00610E7C">
        <w:rPr>
          <w:rFonts w:asciiTheme="minorHAnsi" w:hAnsiTheme="minorHAnsi" w:cstheme="minorHAnsi"/>
        </w:rPr>
        <w:t>legislation and public</w:t>
      </w:r>
      <w:r>
        <w:rPr>
          <w:rFonts w:asciiTheme="minorHAnsi" w:hAnsiTheme="minorHAnsi" w:cstheme="minorHAnsi"/>
        </w:rPr>
        <w:t xml:space="preserve"> a</w:t>
      </w:r>
      <w:r w:rsidRPr="00610E7C">
        <w:rPr>
          <w:rFonts w:asciiTheme="minorHAnsi" w:hAnsiTheme="minorHAnsi" w:cstheme="minorHAnsi"/>
        </w:rPr>
        <w:t>ttitudes</w:t>
      </w:r>
    </w:p>
    <w:p w:rsidR="00610E7C" w:rsidRDefault="00610E7C" w:rsidP="00F86573">
      <w:pPr>
        <w:ind w:left="2127" w:right="-7" w:hanging="2127"/>
        <w:rPr>
          <w:rFonts w:asciiTheme="minorHAnsi" w:hAnsiTheme="minorHAnsi" w:cstheme="minorHAnsi"/>
        </w:rPr>
      </w:pPr>
      <w:r w:rsidRPr="00776DFD">
        <w:rPr>
          <w:rFonts w:asciiTheme="minorHAnsi" w:hAnsiTheme="minorHAnsi" w:cstheme="minorHAnsi"/>
          <w:b/>
          <w:color w:val="FF6600"/>
        </w:rPr>
        <w:t>Author:</w:t>
      </w:r>
      <w:r w:rsidR="00F86573">
        <w:rPr>
          <w:rFonts w:asciiTheme="minorHAnsi" w:hAnsiTheme="minorHAnsi" w:cstheme="minorHAnsi"/>
        </w:rPr>
        <w:tab/>
        <w:t>F</w:t>
      </w:r>
      <w:r>
        <w:rPr>
          <w:rFonts w:asciiTheme="minorHAnsi" w:hAnsiTheme="minorHAnsi" w:cstheme="minorHAnsi"/>
        </w:rPr>
        <w:t>alck, F.</w:t>
      </w:r>
    </w:p>
    <w:p w:rsidR="00610E7C" w:rsidRDefault="00610E7C" w:rsidP="00610E7C">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BMC Public Health</w:t>
      </w:r>
    </w:p>
    <w:p w:rsidR="00610E7C" w:rsidRDefault="00610E7C" w:rsidP="00610E7C">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10E7C">
        <w:rPr>
          <w:rFonts w:asciiTheme="minorHAnsi" w:hAnsiTheme="minorHAnsi" w:cstheme="minorHAnsi"/>
        </w:rPr>
        <w:t>10.1186/s12889-023-15856-9</w:t>
      </w:r>
      <w:r>
        <w:rPr>
          <w:rFonts w:asciiTheme="minorHAnsi" w:hAnsiTheme="minorHAnsi" w:cstheme="minorHAnsi"/>
        </w:rPr>
        <w:t xml:space="preserve"> </w:t>
      </w:r>
    </w:p>
    <w:p w:rsidR="00610E7C" w:rsidRPr="00776DFD" w:rsidRDefault="00610E7C" w:rsidP="00610E7C">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May 2023</w:t>
      </w:r>
    </w:p>
    <w:p w:rsidR="00610E7C" w:rsidRDefault="00610E7C" w:rsidP="00610E7C">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5" w:history="1">
        <w:r w:rsidRPr="004E4A6E">
          <w:rPr>
            <w:rStyle w:val="Hyperlink"/>
            <w:rFonts w:asciiTheme="minorHAnsi" w:hAnsiTheme="minorHAnsi" w:cstheme="minorHAnsi"/>
          </w:rPr>
          <w:t>Click here</w:t>
        </w:r>
      </w:hyperlink>
    </w:p>
    <w:p w:rsidR="00F86573" w:rsidRDefault="00610E7C" w:rsidP="00F86573">
      <w:pPr>
        <w:ind w:left="2127" w:right="-7" w:hanging="2127"/>
        <w:rPr>
          <w:rFonts w:asciiTheme="minorHAnsi" w:hAnsiTheme="minorHAnsi" w:cstheme="minorHAnsi"/>
        </w:rPr>
      </w:pPr>
      <w:r w:rsidRPr="00776DFD">
        <w:rPr>
          <w:rFonts w:asciiTheme="minorHAnsi" w:hAnsiTheme="minorHAnsi" w:cstheme="minorHAnsi"/>
          <w:b/>
          <w:color w:val="FF6600"/>
        </w:rPr>
        <w:lastRenderedPageBreak/>
        <w:t>Notes:</w:t>
      </w:r>
      <w:r w:rsidRPr="00776DFD">
        <w:rPr>
          <w:rFonts w:asciiTheme="minorHAnsi" w:hAnsiTheme="minorHAnsi" w:cstheme="minorHAnsi"/>
          <w:color w:val="FF6600"/>
        </w:rPr>
        <w:tab/>
      </w:r>
      <w:r>
        <w:rPr>
          <w:rFonts w:asciiTheme="minorHAnsi" w:hAnsiTheme="minorHAnsi" w:cstheme="minorHAnsi"/>
        </w:rPr>
        <w:tab/>
      </w:r>
      <w:r w:rsidR="00F86573" w:rsidRPr="00F86573">
        <w:rPr>
          <w:rFonts w:asciiTheme="minorHAnsi" w:hAnsiTheme="minorHAnsi" w:cstheme="minorHAnsi"/>
        </w:rPr>
        <w:t>T</w:t>
      </w:r>
      <w:r w:rsidR="00F86573">
        <w:rPr>
          <w:rFonts w:asciiTheme="minorHAnsi" w:hAnsiTheme="minorHAnsi" w:cstheme="minorHAnsi"/>
        </w:rPr>
        <w:t>h</w:t>
      </w:r>
      <w:r w:rsidR="00F86573" w:rsidRPr="00F86573">
        <w:rPr>
          <w:rFonts w:asciiTheme="minorHAnsi" w:hAnsiTheme="minorHAnsi" w:cstheme="minorHAnsi"/>
        </w:rPr>
        <w:t>is study provides important new insights into the association between structural stigma and individual-level</w:t>
      </w:r>
      <w:r w:rsidR="00F86573">
        <w:rPr>
          <w:rFonts w:asciiTheme="minorHAnsi" w:hAnsiTheme="minorHAnsi" w:cstheme="minorHAnsi"/>
        </w:rPr>
        <w:t xml:space="preserve"> </w:t>
      </w:r>
      <w:r w:rsidR="00F86573" w:rsidRPr="00F86573">
        <w:rPr>
          <w:rFonts w:asciiTheme="minorHAnsi" w:hAnsiTheme="minorHAnsi" w:cstheme="minorHAnsi"/>
        </w:rPr>
        <w:t>outcomes</w:t>
      </w:r>
      <w:r w:rsidR="00F86573">
        <w:rPr>
          <w:rFonts w:asciiTheme="minorHAnsi" w:hAnsiTheme="minorHAnsi" w:cstheme="minorHAnsi"/>
        </w:rPr>
        <w:t>.</w:t>
      </w:r>
    </w:p>
    <w:p w:rsidR="00610E7C" w:rsidRPr="00CB3FC2" w:rsidRDefault="00F86573" w:rsidP="00F86573">
      <w:pPr>
        <w:ind w:left="2127" w:right="-7" w:hanging="687"/>
        <w:rPr>
          <w:rFonts w:asciiTheme="minorHAnsi" w:hAnsiTheme="minorHAnsi" w:cstheme="minorHAnsi"/>
          <w:sz w:val="22"/>
          <w:szCs w:val="22"/>
        </w:rPr>
      </w:pPr>
      <w:r>
        <w:rPr>
          <w:rFonts w:asciiTheme="minorHAnsi" w:hAnsiTheme="minorHAnsi" w:cstheme="minorHAnsi"/>
          <w:sz w:val="22"/>
          <w:szCs w:val="22"/>
        </w:rPr>
        <w:tab/>
      </w:r>
      <w:r w:rsidR="00265E05" w:rsidRPr="00265E05">
        <w:rPr>
          <w:rFonts w:asciiTheme="minorHAnsi" w:hAnsiTheme="minorHAnsi" w:cstheme="minorHAnsi"/>
          <w:sz w:val="22"/>
          <w:szCs w:val="22"/>
        </w:rPr>
        <w:t>The results highlight the importance of changing stigmatizing legislation and population attitudes to</w:t>
      </w:r>
      <w:r w:rsidR="00265E05">
        <w:rPr>
          <w:rFonts w:asciiTheme="minorHAnsi" w:hAnsiTheme="minorHAnsi" w:cstheme="minorHAnsi"/>
          <w:sz w:val="22"/>
          <w:szCs w:val="22"/>
        </w:rPr>
        <w:t xml:space="preserve"> </w:t>
      </w:r>
      <w:r w:rsidR="00265E05" w:rsidRPr="00265E05">
        <w:rPr>
          <w:rFonts w:asciiTheme="minorHAnsi" w:hAnsiTheme="minorHAnsi" w:cstheme="minorHAnsi"/>
          <w:sz w:val="22"/>
          <w:szCs w:val="22"/>
        </w:rPr>
        <w:t>promote access to gender a</w:t>
      </w:r>
      <w:r w:rsidR="00265E05">
        <w:rPr>
          <w:rFonts w:asciiTheme="minorHAnsi" w:hAnsiTheme="minorHAnsi" w:cstheme="minorHAnsi"/>
          <w:sz w:val="22"/>
          <w:szCs w:val="22"/>
        </w:rPr>
        <w:t>f</w:t>
      </w:r>
      <w:r w:rsidR="00265E05" w:rsidRPr="00265E05">
        <w:rPr>
          <w:rFonts w:asciiTheme="minorHAnsi" w:hAnsiTheme="minorHAnsi" w:cstheme="minorHAnsi"/>
          <w:sz w:val="22"/>
          <w:szCs w:val="22"/>
        </w:rPr>
        <w:t>f</w:t>
      </w:r>
      <w:r w:rsidR="00265E05">
        <w:rPr>
          <w:rFonts w:asciiTheme="minorHAnsi" w:hAnsiTheme="minorHAnsi" w:cstheme="minorHAnsi"/>
          <w:sz w:val="22"/>
          <w:szCs w:val="22"/>
        </w:rPr>
        <w:t>i</w:t>
      </w:r>
      <w:r w:rsidR="00265E05" w:rsidRPr="00265E05">
        <w:rPr>
          <w:rFonts w:asciiTheme="minorHAnsi" w:hAnsiTheme="minorHAnsi" w:cstheme="minorHAnsi"/>
          <w:sz w:val="22"/>
          <w:szCs w:val="22"/>
        </w:rPr>
        <w:t>rming care as well as openness of being transgender towards providers</w:t>
      </w:r>
      <w:r w:rsidR="00265E05">
        <w:rPr>
          <w:rFonts w:asciiTheme="minorHAnsi" w:hAnsiTheme="minorHAnsi" w:cstheme="minorHAnsi"/>
          <w:sz w:val="22"/>
          <w:szCs w:val="22"/>
        </w:rPr>
        <w:t>.</w:t>
      </w:r>
    </w:p>
    <w:p w:rsidR="00610E7C" w:rsidRDefault="00610E7C" w:rsidP="00610E7C">
      <w:pPr>
        <w:ind w:right="2542"/>
        <w:rPr>
          <w:rFonts w:asciiTheme="minorHAnsi" w:hAnsiTheme="minorHAnsi" w:cstheme="minorHAnsi"/>
        </w:rPr>
      </w:pPr>
    </w:p>
    <w:p w:rsidR="00610E7C" w:rsidRDefault="00610E7C" w:rsidP="00610E7C">
      <w:pPr>
        <w:ind w:right="2542"/>
        <w:rPr>
          <w:rFonts w:asciiTheme="minorHAnsi" w:hAnsiTheme="minorHAnsi" w:cstheme="minorHAnsi"/>
        </w:rPr>
      </w:pPr>
    </w:p>
    <w:p w:rsidR="00610E7C" w:rsidRDefault="00610E7C" w:rsidP="00610E7C">
      <w:pPr>
        <w:ind w:right="2542"/>
        <w:rPr>
          <w:rFonts w:asciiTheme="minorHAnsi" w:hAnsiTheme="minorHAnsi" w:cstheme="minorHAnsi"/>
        </w:rPr>
      </w:pPr>
    </w:p>
    <w:p w:rsidR="00610E7C" w:rsidRPr="00CB3FC2" w:rsidRDefault="00610E7C" w:rsidP="000D6803">
      <w:pPr>
        <w:ind w:left="2127" w:right="-7" w:hanging="2127"/>
        <w:rPr>
          <w:rFonts w:asciiTheme="minorHAnsi" w:hAnsiTheme="minorHAnsi" w:cstheme="minorHAnsi"/>
          <w:sz w:val="22"/>
          <w:szCs w:val="22"/>
        </w:rPr>
      </w:pPr>
    </w:p>
    <w:p w:rsidR="000D6803" w:rsidRDefault="000D6803" w:rsidP="002F50E1">
      <w:pPr>
        <w:ind w:right="2542"/>
        <w:rPr>
          <w:rFonts w:asciiTheme="minorHAnsi" w:hAnsiTheme="minorHAnsi" w:cstheme="minorHAnsi"/>
        </w:rPr>
      </w:pPr>
    </w:p>
    <w:p w:rsidR="000D6803" w:rsidRDefault="000D6803" w:rsidP="002F50E1">
      <w:pPr>
        <w:ind w:right="2542"/>
        <w:rPr>
          <w:rFonts w:asciiTheme="minorHAnsi" w:hAnsiTheme="minorHAnsi" w:cstheme="minorHAnsi"/>
        </w:rPr>
      </w:pPr>
    </w:p>
    <w:p w:rsidR="00054FC4" w:rsidRPr="002F50E1" w:rsidRDefault="00054FC4" w:rsidP="00054FC4">
      <w:pPr>
        <w:pStyle w:val="Heading1"/>
        <w:rPr>
          <w:b/>
          <w:color w:val="FF6600"/>
          <w:sz w:val="28"/>
          <w:szCs w:val="28"/>
        </w:rPr>
      </w:pPr>
      <w:bookmarkStart w:id="8" w:name="_Toc136609477"/>
      <w:r>
        <w:rPr>
          <w:b/>
          <w:color w:val="FF6600"/>
          <w:sz w:val="28"/>
          <w:szCs w:val="28"/>
        </w:rPr>
        <w:t>Urinary tract infections</w:t>
      </w:r>
      <w:bookmarkEnd w:id="8"/>
    </w:p>
    <w:p w:rsidR="00054FC4" w:rsidRDefault="00054FC4" w:rsidP="00054FC4">
      <w:pPr>
        <w:ind w:right="-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4FC4">
        <w:rPr>
          <w:rFonts w:asciiTheme="minorHAnsi" w:hAnsiTheme="minorHAnsi" w:cstheme="minorHAnsi"/>
        </w:rPr>
        <w:t>Cranberries for preventing urinary tract infections</w:t>
      </w:r>
    </w:p>
    <w:p w:rsidR="00054FC4" w:rsidRDefault="00054FC4" w:rsidP="00054FC4">
      <w:pPr>
        <w:ind w:right="-7"/>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Williams, G.</w:t>
      </w:r>
    </w:p>
    <w:p w:rsidR="00054FC4" w:rsidRDefault="00054FC4" w:rsidP="00054FC4">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Cochrane Database Systematic Reviews</w:t>
      </w:r>
    </w:p>
    <w:p w:rsidR="00054FC4" w:rsidRDefault="00054FC4" w:rsidP="00054FC4">
      <w:pPr>
        <w:ind w:right="2542"/>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54FC4">
        <w:rPr>
          <w:rFonts w:asciiTheme="minorHAnsi" w:hAnsiTheme="minorHAnsi" w:cstheme="minorHAnsi"/>
        </w:rPr>
        <w:t xml:space="preserve">10.1002/14651858.CD001321.pub6. </w:t>
      </w:r>
      <w:r>
        <w:rPr>
          <w:rFonts w:asciiTheme="minorHAnsi" w:hAnsiTheme="minorHAnsi" w:cstheme="minorHAnsi"/>
        </w:rPr>
        <w:t xml:space="preserve"> </w:t>
      </w:r>
    </w:p>
    <w:p w:rsidR="00054FC4" w:rsidRPr="00776DFD" w:rsidRDefault="00054FC4" w:rsidP="00054FC4">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April 2023</w:t>
      </w:r>
    </w:p>
    <w:p w:rsidR="00054FC4" w:rsidRDefault="00054FC4" w:rsidP="00054FC4">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6" w:history="1">
        <w:r w:rsidRPr="00054FC4">
          <w:rPr>
            <w:rStyle w:val="Hyperlink"/>
            <w:rFonts w:asciiTheme="minorHAnsi" w:hAnsiTheme="minorHAnsi" w:cstheme="minorHAnsi"/>
          </w:rPr>
          <w:t>Click here</w:t>
        </w:r>
      </w:hyperlink>
    </w:p>
    <w:p w:rsidR="00054FC4" w:rsidRDefault="00054FC4" w:rsidP="00054FC4">
      <w:pPr>
        <w:ind w:left="2127" w:right="-7" w:hanging="2127"/>
        <w:rPr>
          <w:rFonts w:asciiTheme="minorHAnsi" w:hAnsiTheme="minorHAnsi" w:cstheme="minorHAnsi"/>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rPr>
        <w:tab/>
      </w:r>
      <w:r w:rsidRPr="00054FC4">
        <w:rPr>
          <w:rFonts w:asciiTheme="minorHAnsi" w:hAnsiTheme="minorHAnsi" w:cstheme="minorHAnsi"/>
          <w:sz w:val="22"/>
          <w:szCs w:val="22"/>
        </w:rPr>
        <w:t>This update adds a further 26 studies taking the total number of studies to 50 with 8857 participants. These data support the use of cranberry products to reduce the risk of symptomatic, culture-verified UTIs in women with recurrent UTIs, in children, and in people susceptible to UTIs following interventions. The evidence currently available does not support its use in the elderly, patients with bladder emptying problems, or pregnant women.</w:t>
      </w:r>
    </w:p>
    <w:sectPr w:rsidR="00054FC4" w:rsidSect="00776D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29" w:rsidRDefault="009F3429" w:rsidP="002F50E1">
      <w:r>
        <w:separator/>
      </w:r>
    </w:p>
  </w:endnote>
  <w:endnote w:type="continuationSeparator" w:id="0">
    <w:p w:rsidR="009F3429" w:rsidRDefault="009F3429" w:rsidP="002F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29" w:rsidRDefault="009F3429" w:rsidP="002F50E1">
      <w:r>
        <w:separator/>
      </w:r>
    </w:p>
  </w:footnote>
  <w:footnote w:type="continuationSeparator" w:id="0">
    <w:p w:rsidR="009F3429" w:rsidRDefault="009F3429" w:rsidP="002F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NZ"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D"/>
    <w:rsid w:val="000312A3"/>
    <w:rsid w:val="00036223"/>
    <w:rsid w:val="00053804"/>
    <w:rsid w:val="00054FC4"/>
    <w:rsid w:val="000A7D26"/>
    <w:rsid w:val="000D6803"/>
    <w:rsid w:val="000E5912"/>
    <w:rsid w:val="000F7A7D"/>
    <w:rsid w:val="000F7DCE"/>
    <w:rsid w:val="00127E08"/>
    <w:rsid w:val="001B31CF"/>
    <w:rsid w:val="00203846"/>
    <w:rsid w:val="00207D12"/>
    <w:rsid w:val="002370E2"/>
    <w:rsid w:val="00265E05"/>
    <w:rsid w:val="0027470F"/>
    <w:rsid w:val="00293055"/>
    <w:rsid w:val="002C56CD"/>
    <w:rsid w:val="002F345D"/>
    <w:rsid w:val="002F50E1"/>
    <w:rsid w:val="002F6D87"/>
    <w:rsid w:val="00313837"/>
    <w:rsid w:val="003650DF"/>
    <w:rsid w:val="00376DAF"/>
    <w:rsid w:val="003978D6"/>
    <w:rsid w:val="003B090D"/>
    <w:rsid w:val="003B2E20"/>
    <w:rsid w:val="003D0885"/>
    <w:rsid w:val="004402D2"/>
    <w:rsid w:val="00476CFB"/>
    <w:rsid w:val="004A4358"/>
    <w:rsid w:val="004A7C72"/>
    <w:rsid w:val="004E4A6E"/>
    <w:rsid w:val="00513858"/>
    <w:rsid w:val="00557462"/>
    <w:rsid w:val="00592A2E"/>
    <w:rsid w:val="005F7E18"/>
    <w:rsid w:val="00610E7C"/>
    <w:rsid w:val="006459CA"/>
    <w:rsid w:val="006C76BD"/>
    <w:rsid w:val="00717782"/>
    <w:rsid w:val="0073463E"/>
    <w:rsid w:val="00734E64"/>
    <w:rsid w:val="00776DFD"/>
    <w:rsid w:val="007820F3"/>
    <w:rsid w:val="00853D8F"/>
    <w:rsid w:val="0086741B"/>
    <w:rsid w:val="008D40EE"/>
    <w:rsid w:val="009155DD"/>
    <w:rsid w:val="00915803"/>
    <w:rsid w:val="00926EDE"/>
    <w:rsid w:val="00932B47"/>
    <w:rsid w:val="0093744A"/>
    <w:rsid w:val="00960C10"/>
    <w:rsid w:val="009D4813"/>
    <w:rsid w:val="009E5A23"/>
    <w:rsid w:val="009F11F9"/>
    <w:rsid w:val="009F3429"/>
    <w:rsid w:val="00AE0E6B"/>
    <w:rsid w:val="00B13E24"/>
    <w:rsid w:val="00B46F40"/>
    <w:rsid w:val="00B85A3E"/>
    <w:rsid w:val="00B91314"/>
    <w:rsid w:val="00C17B38"/>
    <w:rsid w:val="00C24BC0"/>
    <w:rsid w:val="00C731BB"/>
    <w:rsid w:val="00C75943"/>
    <w:rsid w:val="00CB3FC2"/>
    <w:rsid w:val="00D04165"/>
    <w:rsid w:val="00D14B79"/>
    <w:rsid w:val="00D17E82"/>
    <w:rsid w:val="00D62C14"/>
    <w:rsid w:val="00D67C6C"/>
    <w:rsid w:val="00DA69A3"/>
    <w:rsid w:val="00DF17A4"/>
    <w:rsid w:val="00DF1B17"/>
    <w:rsid w:val="00E06AFD"/>
    <w:rsid w:val="00E13C7E"/>
    <w:rsid w:val="00E835A1"/>
    <w:rsid w:val="00EA3FFA"/>
    <w:rsid w:val="00ED0A3E"/>
    <w:rsid w:val="00EF6443"/>
    <w:rsid w:val="00F36727"/>
    <w:rsid w:val="00F477BF"/>
    <w:rsid w:val="00F511C0"/>
    <w:rsid w:val="00F86573"/>
    <w:rsid w:val="00F9301E"/>
    <w:rsid w:val="00FA1A5D"/>
    <w:rsid w:val="00FA654A"/>
    <w:rsid w:val="00FD6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D7052"/>
  <w15:chartTrackingRefBased/>
  <w15:docId w15:val="{F8305E03-596D-46FB-97EA-A1F0346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46"/>
    <w:rPr>
      <w:sz w:val="24"/>
      <w:szCs w:val="24"/>
      <w:lang w:eastAsia="en-US"/>
    </w:rPr>
  </w:style>
  <w:style w:type="paragraph" w:styleId="Heading1">
    <w:name w:val="heading 1"/>
    <w:basedOn w:val="Normal"/>
    <w:next w:val="Normal"/>
    <w:link w:val="Heading1Char"/>
    <w:qFormat/>
    <w:rsid w:val="002F5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0E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B13E24"/>
    <w:pPr>
      <w:spacing w:line="259" w:lineRule="auto"/>
      <w:outlineLvl w:val="9"/>
    </w:pPr>
    <w:rPr>
      <w:lang w:val="en-US"/>
    </w:rPr>
  </w:style>
  <w:style w:type="paragraph" w:styleId="TOC1">
    <w:name w:val="toc 1"/>
    <w:basedOn w:val="Normal"/>
    <w:next w:val="Normal"/>
    <w:autoRedefine/>
    <w:uiPriority w:val="39"/>
    <w:rsid w:val="00B13E24"/>
    <w:pPr>
      <w:spacing w:after="100"/>
    </w:pPr>
  </w:style>
  <w:style w:type="character" w:styleId="Hyperlink">
    <w:name w:val="Hyperlink"/>
    <w:basedOn w:val="DefaultParagraphFont"/>
    <w:uiPriority w:val="99"/>
    <w:unhideWhenUsed/>
    <w:rsid w:val="00B13E24"/>
    <w:rPr>
      <w:color w:val="0563C1" w:themeColor="hyperlink"/>
      <w:u w:val="single"/>
    </w:rPr>
  </w:style>
  <w:style w:type="character" w:styleId="FollowedHyperlink">
    <w:name w:val="FollowedHyperlink"/>
    <w:basedOn w:val="DefaultParagraphFont"/>
    <w:rsid w:val="00513858"/>
    <w:rPr>
      <w:color w:val="954F72" w:themeColor="followedHyperlink"/>
      <w:u w:val="single"/>
    </w:rPr>
  </w:style>
  <w:style w:type="paragraph" w:styleId="NoSpacing">
    <w:name w:val="No Spacing"/>
    <w:uiPriority w:val="1"/>
    <w:qFormat/>
    <w:rsid w:val="000362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ib@lakesdhb.govt.nz" TargetMode="External"/><Relationship Id="rId13" Type="http://schemas.openxmlformats.org/officeDocument/2006/relationships/hyperlink" Target="mailto:medlib@lakesdhb.govt.nz" TargetMode="External"/><Relationship Id="rId18" Type="http://schemas.openxmlformats.org/officeDocument/2006/relationships/hyperlink" Target="https://bmcemergmed.biomedcentral.com/counter/pdf/10.1186/s12873-023-00813-x.pdf" TargetMode="External"/><Relationship Id="rId26" Type="http://schemas.openxmlformats.org/officeDocument/2006/relationships/hyperlink" Target="https://www.evidencealerts.com/Articles/MostAccessedArticle/108982" TargetMode="External"/><Relationship Id="rId3" Type="http://schemas.openxmlformats.org/officeDocument/2006/relationships/settings" Target="settings.xml"/><Relationship Id="rId21" Type="http://schemas.openxmlformats.org/officeDocument/2006/relationships/hyperlink" Target="https://lakesdhb.ovidds.com/logging/outgoing?url=https%3A%2F%2Fdoi.org%2F10.1111%2Feip.13327&amp;key=c82f9736-7753-4662-b7c7-bf460bab3329" TargetMode="External"/><Relationship Id="rId7" Type="http://schemas.openxmlformats.org/officeDocument/2006/relationships/hyperlink" Target="https://www.nzblood.co.nz" TargetMode="External"/><Relationship Id="rId12" Type="http://schemas.openxmlformats.org/officeDocument/2006/relationships/hyperlink" Target="http://lakesdhb.ovidds.com/" TargetMode="External"/><Relationship Id="rId17" Type="http://schemas.openxmlformats.org/officeDocument/2006/relationships/hyperlink" Target="https://bmcmedicine.biomedcentral.com/counter/pdf/10.1186/s12916-023-02874-y.pdf" TargetMode="External"/><Relationship Id="rId25" Type="http://schemas.openxmlformats.org/officeDocument/2006/relationships/hyperlink" Target="file:///H:\s12889-023-15856-9%20(1).pdf" TargetMode="External"/><Relationship Id="rId2" Type="http://schemas.openxmlformats.org/officeDocument/2006/relationships/styles" Target="styles.xml"/><Relationship Id="rId16" Type="http://schemas.openxmlformats.org/officeDocument/2006/relationships/hyperlink" Target="https://doi.org/10.1186/s12916-023-02874-y" TargetMode="External"/><Relationship Id="rId20" Type="http://schemas.openxmlformats.org/officeDocument/2006/relationships/hyperlink" Target="file:///H:\Indigenous_adaptation_of_a_mod.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lib@lakesdhb.govt.nz" TargetMode="External"/><Relationship Id="rId24" Type="http://schemas.openxmlformats.org/officeDocument/2006/relationships/hyperlink" Target="https://bmcpublichealth.biomedcentral.com/counter/pdf/10.1186/s12889-023-15965-5.pdf" TargetMode="External"/><Relationship Id="rId5" Type="http://schemas.openxmlformats.org/officeDocument/2006/relationships/footnotes" Target="footnotes.xml"/><Relationship Id="rId15" Type="http://schemas.openxmlformats.org/officeDocument/2006/relationships/hyperlink" Target="https://bmcpublichealth.biomedcentral.com/counter/pdf/10.1186/s12889-023-15879-2.pdf" TargetMode="External"/><Relationship Id="rId23" Type="http://schemas.openxmlformats.org/officeDocument/2006/relationships/hyperlink" Target="https://doi.org/10.1186/s12889-023-%2015965-5" TargetMode="External"/><Relationship Id="rId28" Type="http://schemas.openxmlformats.org/officeDocument/2006/relationships/theme" Target="theme/theme1.xml"/><Relationship Id="rId10" Type="http://schemas.openxmlformats.org/officeDocument/2006/relationships/hyperlink" Target="https://tinyurl.com/y8joncqv" TargetMode="External"/><Relationship Id="rId19" Type="http://schemas.openxmlformats.org/officeDocument/2006/relationships/hyperlink" Target="https://lakesdhb.ovidds.com/logging/outgoing?url=https%3A%2F%2Fdoi.org%2F10.1007%2Fs44155-023-00040-6&amp;key=46a31786-f2ef-474a-a5e2-af5181971398" TargetMode="External"/><Relationship Id="rId4" Type="http://schemas.openxmlformats.org/officeDocument/2006/relationships/webSettings" Target="webSettings.xml"/><Relationship Id="rId9" Type="http://schemas.openxmlformats.org/officeDocument/2006/relationships/hyperlink" Target="https://lakesdhb.ovidds.com/" TargetMode="External"/><Relationship Id="rId14" Type="http://schemas.openxmlformats.org/officeDocument/2006/relationships/image" Target="media/image1.png"/><Relationship Id="rId22" Type="http://schemas.openxmlformats.org/officeDocument/2006/relationships/hyperlink" Target="https://onlinelibrary.wiley.com/doi/epdf/10.1111/eip.133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121D-2C54-480F-B1EF-6A37A0DD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B8064115</Template>
  <TotalTime>107</TotalTime>
  <Pages>7</Pages>
  <Words>1029</Words>
  <Characters>8341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Lakes DHB</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Janet Arnet</cp:lastModifiedBy>
  <cp:revision>9</cp:revision>
  <dcterms:created xsi:type="dcterms:W3CDTF">2023-06-02T00:16:00Z</dcterms:created>
  <dcterms:modified xsi:type="dcterms:W3CDTF">2023-06-02T04:00:00Z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1353742080</vt:i4>
  </property>
  <property fmtid="{D5CDD505-2E9C-101B-9397-08002B2CF9AE}" pid="3" name="_NewReviewCycle">
    <vt:lpwstr/>
  </property>
  <property fmtid="{D5CDD505-2E9C-101B-9397-08002B2CF9AE}" pid="4" name="_EmailSubject">
    <vt:lpwstr>June current awareness bulletin</vt:lpwstr>
  </property>
  <property fmtid="{D5CDD505-2E9C-101B-9397-08002B2CF9AE}" pid="5" name="_AuthorEmail">
    <vt:lpwstr>Janet.Arnet@lakesdhb.govt.nz</vt:lpwstr>
  </property>
  <property fmtid="{D5CDD505-2E9C-101B-9397-08002B2CF9AE}" pid="6" name="_AuthorEmailDisplayName">
    <vt:lpwstr>Janet Arnet</vt:lpwstr>
  </property>
</Properties>
</file>